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5BEE" w14:textId="45F15F36" w:rsidR="009F041C" w:rsidRPr="009F041C" w:rsidRDefault="009F041C" w:rsidP="009F041C">
      <w:pPr>
        <w:jc w:val="center"/>
        <w:rPr>
          <w:rFonts w:ascii="Helvetica" w:hAnsi="Helvetica"/>
          <w:sz w:val="38"/>
          <w:szCs w:val="38"/>
        </w:rPr>
      </w:pPr>
      <w:r w:rsidRPr="009F041C">
        <w:rPr>
          <w:rFonts w:ascii="Helvetica" w:hAnsi="Helvetica"/>
          <w:sz w:val="38"/>
          <w:szCs w:val="38"/>
        </w:rPr>
        <w:t>DRM I/DD Statement of Goals &amp;</w:t>
      </w:r>
      <w:r w:rsidRPr="009F041C">
        <w:rPr>
          <w:rFonts w:ascii="Helvetica" w:hAnsi="Helvetica"/>
          <w:sz w:val="38"/>
          <w:szCs w:val="38"/>
        </w:rPr>
        <w:t xml:space="preserve"> Priorities 2016-2017</w:t>
      </w:r>
    </w:p>
    <w:p w14:paraId="6919A462" w14:textId="77777777" w:rsidR="009F041C" w:rsidRPr="009F041C" w:rsidRDefault="009F041C" w:rsidP="009F041C">
      <w:pPr>
        <w:rPr>
          <w:rFonts w:ascii="Helvetica" w:hAnsi="Helvetica"/>
        </w:rPr>
      </w:pPr>
    </w:p>
    <w:p w14:paraId="17C4253C" w14:textId="77777777" w:rsidR="009F041C" w:rsidRPr="009F041C" w:rsidRDefault="009F041C" w:rsidP="009F041C">
      <w:pPr>
        <w:rPr>
          <w:rFonts w:ascii="Helvetica" w:hAnsi="Helvetica"/>
          <w:b/>
        </w:rPr>
      </w:pPr>
      <w:r w:rsidRPr="009F041C">
        <w:rPr>
          <w:rFonts w:ascii="Helvetica" w:hAnsi="Helvetica"/>
          <w:b/>
        </w:rPr>
        <w:t>Priority Setting Process</w:t>
      </w:r>
    </w:p>
    <w:tbl>
      <w:tblPr>
        <w:tblStyle w:val="TableGrid"/>
        <w:tblW w:w="0" w:type="auto"/>
        <w:tblLook w:val="04A0" w:firstRow="1" w:lastRow="0" w:firstColumn="1" w:lastColumn="0" w:noHBand="0" w:noVBand="1"/>
      </w:tblPr>
      <w:tblGrid>
        <w:gridCol w:w="1233"/>
        <w:gridCol w:w="1305"/>
        <w:gridCol w:w="1414"/>
        <w:gridCol w:w="1213"/>
        <w:gridCol w:w="1263"/>
        <w:gridCol w:w="1336"/>
        <w:gridCol w:w="1812"/>
      </w:tblGrid>
      <w:tr w:rsidR="009F041C" w:rsidRPr="009F041C" w14:paraId="31F34699" w14:textId="77777777" w:rsidTr="00CA7640">
        <w:tc>
          <w:tcPr>
            <w:tcW w:w="1335" w:type="dxa"/>
          </w:tcPr>
          <w:p w14:paraId="5AD53C45" w14:textId="77777777" w:rsidR="009F041C" w:rsidRPr="009F041C" w:rsidRDefault="009F041C" w:rsidP="00CA7640">
            <w:pPr>
              <w:jc w:val="center"/>
              <w:rPr>
                <w:rFonts w:ascii="Helvetica" w:hAnsi="Helvetica"/>
              </w:rPr>
            </w:pPr>
            <w:r w:rsidRPr="009F041C">
              <w:rPr>
                <w:rFonts w:ascii="Helvetica" w:hAnsi="Helvetica"/>
              </w:rPr>
              <w:t>Public Hearing</w:t>
            </w:r>
          </w:p>
          <w:p w14:paraId="41761C3A" w14:textId="77777777" w:rsidR="009F041C" w:rsidRPr="009F041C" w:rsidRDefault="009F041C" w:rsidP="00CA7640">
            <w:pPr>
              <w:jc w:val="center"/>
              <w:rPr>
                <w:rFonts w:ascii="Helvetica" w:hAnsi="Helvetica"/>
              </w:rPr>
            </w:pPr>
            <w:r w:rsidRPr="009F041C">
              <w:rPr>
                <w:rFonts w:ascii="Helvetica" w:hAnsi="Helvetica"/>
              </w:rPr>
              <w:sym w:font="Wingdings" w:char="F071"/>
            </w:r>
          </w:p>
        </w:tc>
        <w:tc>
          <w:tcPr>
            <w:tcW w:w="1335" w:type="dxa"/>
          </w:tcPr>
          <w:p w14:paraId="6B25ABE4" w14:textId="77777777" w:rsidR="009F041C" w:rsidRPr="009F041C" w:rsidRDefault="009F041C" w:rsidP="00CA7640">
            <w:pPr>
              <w:jc w:val="center"/>
              <w:rPr>
                <w:rFonts w:ascii="Helvetica" w:hAnsi="Helvetica"/>
              </w:rPr>
            </w:pPr>
            <w:r w:rsidRPr="009F041C">
              <w:rPr>
                <w:rFonts w:ascii="Helvetica" w:hAnsi="Helvetica"/>
              </w:rPr>
              <w:t>Public Comment</w:t>
            </w:r>
          </w:p>
          <w:p w14:paraId="1F404D54" w14:textId="77777777" w:rsidR="009F041C" w:rsidRPr="009F041C" w:rsidRDefault="009F041C" w:rsidP="00CA7640">
            <w:pPr>
              <w:jc w:val="center"/>
              <w:rPr>
                <w:rFonts w:ascii="Helvetica" w:hAnsi="Helvetica"/>
              </w:rPr>
            </w:pPr>
            <w:r w:rsidRPr="009F041C">
              <w:rPr>
                <w:rFonts w:ascii="Helvetica" w:hAnsi="Helvetica"/>
              </w:rPr>
              <w:sym w:font="Wingdings" w:char="F0FE"/>
            </w:r>
          </w:p>
        </w:tc>
        <w:tc>
          <w:tcPr>
            <w:tcW w:w="1336" w:type="dxa"/>
          </w:tcPr>
          <w:p w14:paraId="00E360F8" w14:textId="77777777" w:rsidR="009F041C" w:rsidRPr="009F041C" w:rsidRDefault="009F041C" w:rsidP="00CA7640">
            <w:pPr>
              <w:jc w:val="center"/>
              <w:rPr>
                <w:rFonts w:ascii="Helvetica" w:hAnsi="Helvetica"/>
              </w:rPr>
            </w:pPr>
            <w:r w:rsidRPr="009F041C">
              <w:rPr>
                <w:rFonts w:ascii="Helvetica" w:hAnsi="Helvetica"/>
              </w:rPr>
              <w:t>Experience</w:t>
            </w:r>
          </w:p>
          <w:p w14:paraId="2E0BA837" w14:textId="77777777" w:rsidR="009F041C" w:rsidRPr="009F041C" w:rsidRDefault="009F041C" w:rsidP="00CA7640">
            <w:pPr>
              <w:jc w:val="center"/>
              <w:rPr>
                <w:rFonts w:ascii="Helvetica" w:hAnsi="Helvetica"/>
              </w:rPr>
            </w:pPr>
          </w:p>
          <w:p w14:paraId="10412093" w14:textId="77777777" w:rsidR="009F041C" w:rsidRPr="009F041C" w:rsidRDefault="009F041C" w:rsidP="00CA7640">
            <w:pPr>
              <w:jc w:val="center"/>
              <w:rPr>
                <w:rFonts w:ascii="Helvetica" w:hAnsi="Helvetica"/>
              </w:rPr>
            </w:pPr>
            <w:r w:rsidRPr="009F041C">
              <w:rPr>
                <w:rFonts w:ascii="Helvetica" w:hAnsi="Helvetica"/>
              </w:rPr>
              <w:sym w:font="Wingdings" w:char="F0FE"/>
            </w:r>
          </w:p>
        </w:tc>
        <w:tc>
          <w:tcPr>
            <w:tcW w:w="1336" w:type="dxa"/>
          </w:tcPr>
          <w:p w14:paraId="2D8B572C" w14:textId="77777777" w:rsidR="009F041C" w:rsidRPr="009F041C" w:rsidRDefault="009F041C" w:rsidP="00CA7640">
            <w:pPr>
              <w:jc w:val="center"/>
              <w:rPr>
                <w:rFonts w:ascii="Helvetica" w:hAnsi="Helvetica"/>
              </w:rPr>
            </w:pPr>
            <w:r w:rsidRPr="009F041C">
              <w:rPr>
                <w:rFonts w:ascii="Helvetica" w:hAnsi="Helvetica"/>
              </w:rPr>
              <w:t>Focus Groups</w:t>
            </w:r>
          </w:p>
          <w:p w14:paraId="559BF1D0" w14:textId="77777777" w:rsidR="009F041C" w:rsidRPr="009F041C" w:rsidRDefault="009F041C" w:rsidP="00CA7640">
            <w:pPr>
              <w:jc w:val="center"/>
              <w:rPr>
                <w:rFonts w:ascii="Helvetica" w:hAnsi="Helvetica"/>
              </w:rPr>
            </w:pPr>
            <w:r w:rsidRPr="009F041C">
              <w:rPr>
                <w:rFonts w:ascii="Helvetica" w:hAnsi="Helvetica"/>
              </w:rPr>
              <w:sym w:font="Wingdings" w:char="F071"/>
            </w:r>
          </w:p>
        </w:tc>
        <w:tc>
          <w:tcPr>
            <w:tcW w:w="1336" w:type="dxa"/>
          </w:tcPr>
          <w:p w14:paraId="5A988AF2" w14:textId="77777777" w:rsidR="009F041C" w:rsidRPr="009F041C" w:rsidRDefault="009F041C" w:rsidP="00CA7640">
            <w:pPr>
              <w:jc w:val="center"/>
              <w:rPr>
                <w:rFonts w:ascii="Helvetica" w:hAnsi="Helvetica"/>
              </w:rPr>
            </w:pPr>
            <w:r w:rsidRPr="009F041C">
              <w:rPr>
                <w:rFonts w:ascii="Helvetica" w:hAnsi="Helvetica"/>
              </w:rPr>
              <w:t>Advisory Council</w:t>
            </w:r>
          </w:p>
          <w:p w14:paraId="291747EC" w14:textId="77777777" w:rsidR="009F041C" w:rsidRPr="009F041C" w:rsidRDefault="009F041C" w:rsidP="00CA7640">
            <w:pPr>
              <w:jc w:val="center"/>
              <w:rPr>
                <w:rFonts w:ascii="Helvetica" w:hAnsi="Helvetica"/>
              </w:rPr>
            </w:pPr>
            <w:r w:rsidRPr="009F041C">
              <w:rPr>
                <w:rFonts w:ascii="Helvetica" w:hAnsi="Helvetica"/>
              </w:rPr>
              <w:sym w:font="Wingdings" w:char="F071"/>
            </w:r>
          </w:p>
          <w:p w14:paraId="7D2EF2AF" w14:textId="77777777" w:rsidR="009F041C" w:rsidRPr="009F041C" w:rsidRDefault="009F041C" w:rsidP="00CA7640">
            <w:pPr>
              <w:jc w:val="center"/>
              <w:rPr>
                <w:rFonts w:ascii="Helvetica" w:hAnsi="Helvetica"/>
              </w:rPr>
            </w:pPr>
          </w:p>
        </w:tc>
        <w:tc>
          <w:tcPr>
            <w:tcW w:w="1336" w:type="dxa"/>
          </w:tcPr>
          <w:p w14:paraId="0D212E7F" w14:textId="77777777" w:rsidR="009F041C" w:rsidRPr="009F041C" w:rsidRDefault="009F041C" w:rsidP="00CA7640">
            <w:pPr>
              <w:jc w:val="center"/>
              <w:rPr>
                <w:rFonts w:ascii="Helvetica" w:hAnsi="Helvetica"/>
              </w:rPr>
            </w:pPr>
            <w:r w:rsidRPr="009F041C">
              <w:rPr>
                <w:rFonts w:ascii="Helvetica" w:hAnsi="Helvetica"/>
              </w:rPr>
              <w:t>Monitoring Visits</w:t>
            </w:r>
          </w:p>
          <w:p w14:paraId="4D01689F" w14:textId="77777777" w:rsidR="009F041C" w:rsidRPr="009F041C" w:rsidRDefault="009F041C" w:rsidP="00CA7640">
            <w:pPr>
              <w:jc w:val="center"/>
              <w:rPr>
                <w:rFonts w:ascii="Helvetica" w:hAnsi="Helvetica"/>
              </w:rPr>
            </w:pPr>
            <w:r w:rsidRPr="009F041C">
              <w:rPr>
                <w:rFonts w:ascii="Helvetica" w:hAnsi="Helvetica"/>
              </w:rPr>
              <w:sym w:font="Wingdings" w:char="F0FE"/>
            </w:r>
          </w:p>
        </w:tc>
        <w:tc>
          <w:tcPr>
            <w:tcW w:w="1336" w:type="dxa"/>
          </w:tcPr>
          <w:p w14:paraId="4A17753A" w14:textId="77777777" w:rsidR="009F041C" w:rsidRPr="009F041C" w:rsidRDefault="009F041C" w:rsidP="00CA7640">
            <w:pPr>
              <w:jc w:val="center"/>
              <w:rPr>
                <w:rFonts w:ascii="Helvetica" w:hAnsi="Helvetica"/>
              </w:rPr>
            </w:pPr>
            <w:r w:rsidRPr="009F041C">
              <w:rPr>
                <w:rFonts w:ascii="Helvetica" w:hAnsi="Helvetica"/>
              </w:rPr>
              <w:t>Research/Data</w:t>
            </w:r>
          </w:p>
          <w:p w14:paraId="00F90745" w14:textId="77777777" w:rsidR="009F041C" w:rsidRPr="009F041C" w:rsidRDefault="009F041C" w:rsidP="00CA7640">
            <w:pPr>
              <w:jc w:val="center"/>
              <w:rPr>
                <w:rFonts w:ascii="Helvetica" w:hAnsi="Helvetica"/>
              </w:rPr>
            </w:pPr>
          </w:p>
          <w:p w14:paraId="6C988355" w14:textId="77777777" w:rsidR="009F041C" w:rsidRPr="009F041C" w:rsidRDefault="009F041C" w:rsidP="00CA7640">
            <w:pPr>
              <w:jc w:val="center"/>
              <w:rPr>
                <w:rFonts w:ascii="Helvetica" w:hAnsi="Helvetica"/>
              </w:rPr>
            </w:pPr>
            <w:r w:rsidRPr="009F041C">
              <w:rPr>
                <w:rFonts w:ascii="Helvetica" w:hAnsi="Helvetica"/>
              </w:rPr>
              <w:sym w:font="Wingdings" w:char="F0FE"/>
            </w:r>
          </w:p>
        </w:tc>
      </w:tr>
    </w:tbl>
    <w:p w14:paraId="5CE81E31" w14:textId="77777777" w:rsidR="009F041C" w:rsidRPr="009F041C" w:rsidRDefault="009F041C" w:rsidP="009F041C">
      <w:pPr>
        <w:rPr>
          <w:rFonts w:ascii="Helvetica" w:hAnsi="Helvetica"/>
        </w:rPr>
      </w:pPr>
    </w:p>
    <w:p w14:paraId="4FDB29FF" w14:textId="77777777" w:rsidR="009F041C" w:rsidRPr="009F041C" w:rsidRDefault="009F041C" w:rsidP="009F041C">
      <w:pPr>
        <w:rPr>
          <w:rFonts w:ascii="Helvetica" w:hAnsi="Helvetica"/>
        </w:rPr>
      </w:pPr>
      <w:r w:rsidRPr="009F041C">
        <w:rPr>
          <w:rFonts w:ascii="Helvetica" w:hAnsi="Helvetica"/>
          <w:b/>
        </w:rPr>
        <w:t>Narrative (describe how the P&amp;A conducted data driven strategic planning):</w:t>
      </w:r>
      <w:r w:rsidRPr="009F041C">
        <w:rPr>
          <w:rFonts w:ascii="Helvetica" w:hAnsi="Helvetica"/>
        </w:rPr>
        <w:t xml:space="preserve"> </w:t>
      </w:r>
    </w:p>
    <w:p w14:paraId="25E70091" w14:textId="77777777" w:rsidR="009F041C" w:rsidRPr="009F041C" w:rsidRDefault="009F041C" w:rsidP="009F041C">
      <w:pPr>
        <w:rPr>
          <w:rFonts w:ascii="Helvetica" w:hAnsi="Helvetica"/>
        </w:rPr>
      </w:pPr>
    </w:p>
    <w:p w14:paraId="2A0D87DB" w14:textId="77777777" w:rsidR="009F041C" w:rsidRPr="009F041C" w:rsidRDefault="009F041C" w:rsidP="009F041C">
      <w:pPr>
        <w:rPr>
          <w:rFonts w:ascii="Helvetica" w:hAnsi="Helvetica"/>
        </w:rPr>
      </w:pPr>
      <w:r w:rsidRPr="009F041C">
        <w:rPr>
          <w:rFonts w:ascii="Helvetica" w:hAnsi="Helvetica"/>
        </w:rPr>
        <w:t>With the DD Coalition, DRM closely monitors DDA's budget, waiting list, the numbers of people who are waitlisted and in crisis and the numbers of people remaining in state institutions, both the ICFs and the forensic DD facility. DRM meets people with disabilities by conducting monitoring visits and rights trainings. We have analyzed the state abuse and neglect reporting system to determine trends in reporting for all types of incidents including abuse, neglect, death, restraint, unplanned hospitalizations, and others. DRM analyzed I&amp;Rs received in the past fiscal year by type of request to review trends in demand for our services by people with DD and people calling on their behalf. We also analyzed the pattern of open cases. DRM has not had a practice of identifying that specific I&amp;Rs and cases are closed due to lack of resources.  Changes in our database will permit us to identify cases that close due to lack of resources, but not I</w:t>
      </w:r>
      <w:proofErr w:type="gramStart"/>
      <w:r w:rsidRPr="009F041C">
        <w:rPr>
          <w:rFonts w:ascii="Helvetica" w:hAnsi="Helvetica"/>
        </w:rPr>
        <w:t>&amp;Rs</w:t>
      </w:r>
      <w:proofErr w:type="gramEnd"/>
      <w:r w:rsidRPr="009F041C">
        <w:rPr>
          <w:rFonts w:ascii="Helvetica" w:hAnsi="Helvetica"/>
        </w:rPr>
        <w:t xml:space="preserve">.  We are in the process of improving our case handlers’ use of this capability to collect more accurate information.  It is apparent that the demand for our services is greater than our staff can responsibly take on and still deliver quality legal advocacy. </w:t>
      </w:r>
    </w:p>
    <w:p w14:paraId="6421937B" w14:textId="77777777" w:rsidR="009F041C" w:rsidRPr="009F041C" w:rsidRDefault="009F041C" w:rsidP="009F041C">
      <w:pPr>
        <w:rPr>
          <w:rFonts w:ascii="Helvetica" w:hAnsi="Helvetica"/>
        </w:rPr>
      </w:pPr>
    </w:p>
    <w:p w14:paraId="7723B4FD" w14:textId="0B492823" w:rsidR="009F041C" w:rsidRPr="009F041C" w:rsidRDefault="009F041C" w:rsidP="009F041C">
      <w:pPr>
        <w:rPr>
          <w:rFonts w:ascii="Helvetica" w:hAnsi="Helvetica"/>
          <w:b/>
        </w:rPr>
      </w:pPr>
      <w:r w:rsidRPr="009F041C">
        <w:rPr>
          <w:rFonts w:ascii="Helvetica" w:hAnsi="Helvetica"/>
          <w:b/>
        </w:rPr>
        <w:t xml:space="preserve">2. Number of days for public comment: </w:t>
      </w:r>
      <w:r>
        <w:rPr>
          <w:rFonts w:ascii="Helvetica" w:hAnsi="Helvetica"/>
          <w:b/>
        </w:rPr>
        <w:t>(</w:t>
      </w:r>
      <w:r>
        <w:rPr>
          <w:rFonts w:ascii="Helvetica" w:hAnsi="Helvetica"/>
        </w:rPr>
        <w:t>by November 1, 2016)</w:t>
      </w:r>
    </w:p>
    <w:p w14:paraId="2FE34FE9" w14:textId="77777777" w:rsidR="009F041C" w:rsidRPr="009F041C" w:rsidRDefault="009F041C" w:rsidP="009F041C">
      <w:pPr>
        <w:rPr>
          <w:rFonts w:ascii="Helvetica" w:hAnsi="Helvetica"/>
          <w:b/>
        </w:rPr>
      </w:pPr>
    </w:p>
    <w:p w14:paraId="3E7D7D2E" w14:textId="77777777" w:rsidR="009F041C" w:rsidRPr="009F041C" w:rsidRDefault="009F041C" w:rsidP="009F041C">
      <w:pPr>
        <w:rPr>
          <w:rFonts w:ascii="Helvetica" w:hAnsi="Helvetica"/>
          <w:b/>
        </w:rPr>
      </w:pPr>
      <w:r w:rsidRPr="009F041C">
        <w:rPr>
          <w:rFonts w:ascii="Helvetica" w:hAnsi="Helvetica"/>
          <w:b/>
        </w:rPr>
        <w:t>3. Describe efforts to assure diversity (disability, geographic, racial, etc.) in the data-driven strategic planning process</w:t>
      </w:r>
    </w:p>
    <w:p w14:paraId="6F3817E3" w14:textId="77777777" w:rsidR="009F041C" w:rsidRPr="009F041C" w:rsidRDefault="009F041C" w:rsidP="009F041C">
      <w:pPr>
        <w:rPr>
          <w:rFonts w:ascii="Helvetica" w:hAnsi="Helvetica"/>
          <w:b/>
        </w:rPr>
      </w:pPr>
    </w:p>
    <w:p w14:paraId="55F958EC" w14:textId="77777777" w:rsidR="009F041C" w:rsidRPr="009F041C" w:rsidRDefault="009F041C" w:rsidP="009F041C">
      <w:pPr>
        <w:rPr>
          <w:rFonts w:ascii="Helvetica" w:hAnsi="Helvetica"/>
        </w:rPr>
      </w:pPr>
      <w:r w:rsidRPr="009F041C">
        <w:rPr>
          <w:rFonts w:ascii="Helvetica" w:hAnsi="Helvetica"/>
        </w:rPr>
        <w:t>The data that we have tracked includes all people with DD in all geographic areas.</w:t>
      </w:r>
    </w:p>
    <w:p w14:paraId="59D54082" w14:textId="77777777" w:rsidR="009F041C" w:rsidRPr="009F041C" w:rsidRDefault="009F041C" w:rsidP="009F041C">
      <w:pPr>
        <w:rPr>
          <w:rFonts w:ascii="Helvetica" w:hAnsi="Helvetica"/>
          <w:b/>
        </w:rPr>
      </w:pPr>
    </w:p>
    <w:p w14:paraId="65188ED8" w14:textId="77777777" w:rsidR="009F041C" w:rsidRPr="009F041C" w:rsidRDefault="009F041C" w:rsidP="009F041C">
      <w:pPr>
        <w:rPr>
          <w:rFonts w:ascii="Helvetica" w:hAnsi="Helvetica"/>
        </w:rPr>
      </w:pPr>
      <w:r w:rsidRPr="009F041C">
        <w:rPr>
          <w:rFonts w:ascii="Helvetica" w:hAnsi="Helvetica"/>
          <w:b/>
        </w:rPr>
        <w:t>4. A copy of the proposed SGP for comment was provided to the: State Council on Developmental Disabilities:</w:t>
      </w:r>
      <w:r w:rsidRPr="009F041C">
        <w:rPr>
          <w:rFonts w:ascii="Helvetica" w:hAnsi="Helvetica"/>
        </w:rPr>
        <w:t xml:space="preserve"> Yes </w:t>
      </w:r>
    </w:p>
    <w:p w14:paraId="7A2CE994" w14:textId="77777777" w:rsidR="009F041C" w:rsidRPr="009F041C" w:rsidRDefault="009F041C" w:rsidP="009F041C">
      <w:pPr>
        <w:rPr>
          <w:rFonts w:ascii="Helvetica" w:hAnsi="Helvetica"/>
        </w:rPr>
      </w:pPr>
      <w:r w:rsidRPr="009F041C">
        <w:rPr>
          <w:rFonts w:ascii="Helvetica" w:hAnsi="Helvetica"/>
          <w:b/>
        </w:rPr>
        <w:t>The University Centers for Excellence in Developmental Disabilities Education, Research and Service:</w:t>
      </w:r>
      <w:r w:rsidRPr="009F041C">
        <w:rPr>
          <w:rFonts w:ascii="Helvetica" w:hAnsi="Helvetica"/>
        </w:rPr>
        <w:t xml:space="preserve"> Yes</w:t>
      </w:r>
    </w:p>
    <w:p w14:paraId="2809CF4C" w14:textId="77777777" w:rsidR="009F041C" w:rsidRPr="009F041C" w:rsidRDefault="009F041C" w:rsidP="009F041C">
      <w:pPr>
        <w:rPr>
          <w:rFonts w:ascii="Helvetica" w:hAnsi="Helvetica"/>
        </w:rPr>
      </w:pPr>
    </w:p>
    <w:p w14:paraId="1B626C41" w14:textId="77777777" w:rsidR="009F041C" w:rsidRPr="009F041C" w:rsidRDefault="009F041C" w:rsidP="009F041C">
      <w:pPr>
        <w:rPr>
          <w:rFonts w:ascii="Helvetica" w:hAnsi="Helvetica"/>
          <w:b/>
        </w:rPr>
      </w:pPr>
      <w:r w:rsidRPr="009F041C">
        <w:rPr>
          <w:rFonts w:ascii="Helvetica" w:hAnsi="Helvetica"/>
          <w:b/>
        </w:rPr>
        <w:t>5. Summary of Findings</w:t>
      </w:r>
    </w:p>
    <w:p w14:paraId="29DFC4B1" w14:textId="77777777" w:rsidR="009F041C" w:rsidRPr="009F041C" w:rsidRDefault="009F041C" w:rsidP="009F041C">
      <w:pPr>
        <w:rPr>
          <w:rFonts w:ascii="Helvetica" w:hAnsi="Helvetica"/>
          <w:b/>
        </w:rPr>
      </w:pPr>
    </w:p>
    <w:p w14:paraId="0889944B" w14:textId="77777777" w:rsidR="009F041C" w:rsidRPr="009F041C" w:rsidRDefault="009F041C" w:rsidP="009F041C">
      <w:pPr>
        <w:rPr>
          <w:rFonts w:ascii="Helvetica" w:hAnsi="Helvetica"/>
          <w:b/>
        </w:rPr>
      </w:pPr>
      <w:r w:rsidRPr="009F041C">
        <w:rPr>
          <w:rFonts w:ascii="Helvetica" w:hAnsi="Helvetica"/>
          <w:b/>
        </w:rPr>
        <w:lastRenderedPageBreak/>
        <w:t xml:space="preserve">Waiting List </w:t>
      </w:r>
    </w:p>
    <w:p w14:paraId="210ABA7E" w14:textId="77777777" w:rsidR="009F041C" w:rsidRPr="009F041C" w:rsidRDefault="009F041C" w:rsidP="009F041C">
      <w:pPr>
        <w:rPr>
          <w:rFonts w:ascii="Helvetica" w:hAnsi="Helvetica"/>
        </w:rPr>
      </w:pPr>
      <w:proofErr w:type="gramStart"/>
      <w:r w:rsidRPr="009F041C">
        <w:rPr>
          <w:rFonts w:ascii="Helvetica" w:hAnsi="Helvetica"/>
        </w:rPr>
        <w:t>The DDA waiting list numbers over 7900, with over 100 people annually in crisis.</w:t>
      </w:r>
      <w:proofErr w:type="gramEnd"/>
      <w:r w:rsidRPr="009F041C">
        <w:rPr>
          <w:rFonts w:ascii="Helvetica" w:hAnsi="Helvetica"/>
        </w:rPr>
        <w:t xml:space="preserve">  In FY 2016, advocacy secured funding for 100 people in the highest priority category, Crisis Resolution.  Each year DDA has funding for approximately 600 transitioning youth.</w:t>
      </w:r>
    </w:p>
    <w:p w14:paraId="77026AD3" w14:textId="77777777" w:rsidR="009F041C" w:rsidRPr="009F041C" w:rsidRDefault="009F041C" w:rsidP="009F041C">
      <w:pPr>
        <w:rPr>
          <w:rFonts w:ascii="Helvetica" w:hAnsi="Helvetica"/>
          <w:b/>
        </w:rPr>
      </w:pPr>
    </w:p>
    <w:p w14:paraId="32C91026" w14:textId="77777777" w:rsidR="009F041C" w:rsidRPr="009F041C" w:rsidRDefault="009F041C" w:rsidP="009F041C">
      <w:pPr>
        <w:rPr>
          <w:rFonts w:ascii="Helvetica" w:hAnsi="Helvetica"/>
          <w:b/>
        </w:rPr>
      </w:pPr>
      <w:r w:rsidRPr="009F041C">
        <w:rPr>
          <w:rFonts w:ascii="Helvetica" w:hAnsi="Helvetica"/>
          <w:b/>
        </w:rPr>
        <w:t xml:space="preserve">DDA Transformation </w:t>
      </w:r>
    </w:p>
    <w:p w14:paraId="667D4011" w14:textId="77777777" w:rsidR="009F041C" w:rsidRPr="009F041C" w:rsidRDefault="009F041C" w:rsidP="009F041C">
      <w:pPr>
        <w:rPr>
          <w:rFonts w:ascii="Helvetica" w:hAnsi="Helvetica"/>
        </w:rPr>
      </w:pPr>
      <w:r w:rsidRPr="009F041C">
        <w:rPr>
          <w:rFonts w:ascii="Helvetica" w:hAnsi="Helvetica"/>
        </w:rPr>
        <w:t xml:space="preserve">DDA is responding to intense funding and administrative challenges and is undergoing a “Transformation” to change all of its Medicaid waiver services, promote Employment First, increase opportunities for self-direction, improve person centered planning and require new health screenings as well as working to comply with the Home and Community Based Service integration mandates that are required by March 2019.  These changes will require Medicaid waiver amendments, new regulations and new policies and will require substantial education efforts throughout the DD system as well as individuals and families and other government agencies.  </w:t>
      </w:r>
    </w:p>
    <w:p w14:paraId="6E0FCA34" w14:textId="77777777" w:rsidR="009F041C" w:rsidRPr="009F041C" w:rsidRDefault="009F041C" w:rsidP="009F041C">
      <w:pPr>
        <w:rPr>
          <w:rFonts w:ascii="Helvetica" w:hAnsi="Helvetica"/>
        </w:rPr>
      </w:pPr>
    </w:p>
    <w:p w14:paraId="6ECD1AA8" w14:textId="77777777" w:rsidR="009F041C" w:rsidRPr="009F041C" w:rsidRDefault="009F041C" w:rsidP="009F041C">
      <w:pPr>
        <w:rPr>
          <w:rFonts w:ascii="Helvetica" w:hAnsi="Helvetica"/>
        </w:rPr>
      </w:pPr>
      <w:r w:rsidRPr="009F041C">
        <w:rPr>
          <w:rFonts w:ascii="Helvetica" w:hAnsi="Helvetica"/>
        </w:rPr>
        <w:t xml:space="preserve">DDA itself collects little data about people and services.  For many years DDA collected client satisfaction data through the Ask Me! Project which hired people with DD to administer surveys directly to people receiving services.  Though this project was considered a success, DDA suddenly ended the contract in 2014 and is now using the National Core Indicators </w:t>
      </w:r>
      <w:proofErr w:type="gramStart"/>
      <w:r w:rsidRPr="009F041C">
        <w:rPr>
          <w:rFonts w:ascii="Helvetica" w:hAnsi="Helvetica"/>
        </w:rPr>
        <w:t>survey which is administered</w:t>
      </w:r>
      <w:proofErr w:type="gramEnd"/>
      <w:r w:rsidRPr="009F041C">
        <w:rPr>
          <w:rFonts w:ascii="Helvetica" w:hAnsi="Helvetica"/>
        </w:rPr>
        <w:t xml:space="preserve"> primarily through surveys of family members or legal guardians of people with disabilities. The data collected through this survey is too general to help DRM identify where advocacy services are most needed.</w:t>
      </w:r>
    </w:p>
    <w:p w14:paraId="4D84A347" w14:textId="77777777" w:rsidR="009F041C" w:rsidRPr="009F041C" w:rsidRDefault="009F041C" w:rsidP="009F041C">
      <w:pPr>
        <w:rPr>
          <w:rFonts w:ascii="Helvetica" w:hAnsi="Helvetica"/>
        </w:rPr>
      </w:pPr>
    </w:p>
    <w:p w14:paraId="7478CB8F" w14:textId="77777777" w:rsidR="009F041C" w:rsidRPr="009F041C" w:rsidRDefault="009F041C" w:rsidP="009F041C">
      <w:pPr>
        <w:rPr>
          <w:rFonts w:ascii="Helvetica" w:hAnsi="Helvetica"/>
        </w:rPr>
      </w:pPr>
      <w:r w:rsidRPr="009F041C">
        <w:rPr>
          <w:rFonts w:ascii="Helvetica" w:hAnsi="Helvetica"/>
        </w:rPr>
        <w:t>After representing several clients who were badly injured at a provider agency that supports people with intensive behavior support needs, DRM asked for data on DDA’s behavior support system and we interviewed 12 provider agencies that deliver behavior support services or support people with intensive behavior support needs. (</w:t>
      </w:r>
      <w:proofErr w:type="gramStart"/>
      <w:r w:rsidRPr="009F041C">
        <w:rPr>
          <w:rFonts w:ascii="Helvetica" w:hAnsi="Helvetica"/>
        </w:rPr>
        <w:t>see</w:t>
      </w:r>
      <w:proofErr w:type="gramEnd"/>
      <w:r w:rsidRPr="009F041C">
        <w:rPr>
          <w:rFonts w:ascii="Helvetica" w:hAnsi="Helvetica"/>
        </w:rPr>
        <w:t xml:space="preserve"> PPR)  Though we received some data, we did not receive what we requested about usage statistics.  Our study resulted in a public report and conclusions about the need for DDA to redesign its behavior support services with stakeholder involvement.</w:t>
      </w:r>
    </w:p>
    <w:p w14:paraId="592614F3" w14:textId="77777777" w:rsidR="009F041C" w:rsidRPr="009F041C" w:rsidRDefault="009F041C" w:rsidP="009F041C">
      <w:pPr>
        <w:rPr>
          <w:rFonts w:ascii="Helvetica" w:hAnsi="Helvetica"/>
        </w:rPr>
      </w:pPr>
    </w:p>
    <w:p w14:paraId="24FE8C9D" w14:textId="77777777" w:rsidR="009F041C" w:rsidRPr="009F041C" w:rsidRDefault="009F041C" w:rsidP="009F041C">
      <w:pPr>
        <w:rPr>
          <w:rFonts w:ascii="Helvetica" w:hAnsi="Helvetica"/>
        </w:rPr>
      </w:pPr>
      <w:r w:rsidRPr="009F041C">
        <w:rPr>
          <w:rFonts w:ascii="Helvetica" w:hAnsi="Helvetica"/>
        </w:rPr>
        <w:t>Self-advocates with DD have continued to work toward competitive integrated employment, and, in this fiscal year, secured legislation to phase out subminimum wages under Fair Labor Standards Act 14(c) certificates in Maryland.  DDA has developed a strategic plan to transition its services to deliver competitive integrated employment.</w:t>
      </w:r>
    </w:p>
    <w:p w14:paraId="546530CF" w14:textId="77777777" w:rsidR="009F041C" w:rsidRPr="009F041C" w:rsidRDefault="009F041C" w:rsidP="009F041C">
      <w:pPr>
        <w:rPr>
          <w:rFonts w:ascii="Helvetica" w:hAnsi="Helvetica"/>
        </w:rPr>
      </w:pPr>
    </w:p>
    <w:p w14:paraId="490E63DE" w14:textId="77777777" w:rsidR="009F041C" w:rsidRPr="009F041C" w:rsidRDefault="009F041C" w:rsidP="009F041C">
      <w:pPr>
        <w:rPr>
          <w:rFonts w:ascii="Helvetica" w:hAnsi="Helvetica"/>
          <w:b/>
        </w:rPr>
      </w:pPr>
      <w:r w:rsidRPr="009F041C">
        <w:rPr>
          <w:rFonts w:ascii="Helvetica" w:hAnsi="Helvetica"/>
          <w:b/>
        </w:rPr>
        <w:t>Eligibility</w:t>
      </w:r>
    </w:p>
    <w:p w14:paraId="481A205A" w14:textId="77777777" w:rsidR="009F041C" w:rsidRPr="009F041C" w:rsidRDefault="009F041C" w:rsidP="009F041C">
      <w:pPr>
        <w:rPr>
          <w:rFonts w:ascii="Helvetica" w:hAnsi="Helvetica"/>
        </w:rPr>
      </w:pPr>
      <w:r w:rsidRPr="009F041C">
        <w:rPr>
          <w:rFonts w:ascii="Helvetica" w:hAnsi="Helvetica"/>
        </w:rPr>
        <w:t xml:space="preserve">This year, DDA terminated targeted case management services for 2,770 people who were deemed not to have a DD.  Due to flaws in the eligibility determination process, it was likely that many of the people terminated in fact have a DD and </w:t>
      </w:r>
      <w:proofErr w:type="gramStart"/>
      <w:r w:rsidRPr="009F041C">
        <w:rPr>
          <w:rFonts w:ascii="Helvetica" w:hAnsi="Helvetica"/>
        </w:rPr>
        <w:t>were</w:t>
      </w:r>
      <w:proofErr w:type="gramEnd"/>
      <w:r w:rsidRPr="009F041C">
        <w:rPr>
          <w:rFonts w:ascii="Helvetica" w:hAnsi="Helvetica"/>
        </w:rPr>
        <w:t xml:space="preserve"> wrongfully terminated.  See the PPR for more information and data from this process that spurred DRM to advise many clients on eligibility.  DRM obtained information through a public </w:t>
      </w:r>
      <w:r w:rsidRPr="009F041C">
        <w:rPr>
          <w:rFonts w:ascii="Helvetica" w:hAnsi="Helvetica"/>
        </w:rPr>
        <w:lastRenderedPageBreak/>
        <w:t>information act request and the MCDD performed some data analysis that helped confirm some trends and patterns of regional variation in eligibility determinations.  The data helped support DRM advocacy and helped inform the DD Coalition.  (</w:t>
      </w:r>
      <w:proofErr w:type="gramStart"/>
      <w:r w:rsidRPr="009F041C">
        <w:rPr>
          <w:rFonts w:ascii="Helvetica" w:hAnsi="Helvetica"/>
        </w:rPr>
        <w:t>see</w:t>
      </w:r>
      <w:proofErr w:type="gramEnd"/>
      <w:r w:rsidRPr="009F041C">
        <w:rPr>
          <w:rFonts w:ascii="Helvetica" w:hAnsi="Helvetica"/>
        </w:rPr>
        <w:t xml:space="preserve"> PPR)  </w:t>
      </w:r>
    </w:p>
    <w:p w14:paraId="2D57FB55" w14:textId="77777777" w:rsidR="009F041C" w:rsidRPr="009F041C" w:rsidRDefault="009F041C" w:rsidP="009F041C">
      <w:pPr>
        <w:rPr>
          <w:rFonts w:ascii="Helvetica" w:hAnsi="Helvetica"/>
        </w:rPr>
      </w:pPr>
    </w:p>
    <w:p w14:paraId="2351AF2B" w14:textId="77777777" w:rsidR="009F041C" w:rsidRPr="009F041C" w:rsidRDefault="009F041C" w:rsidP="009F041C">
      <w:pPr>
        <w:rPr>
          <w:rFonts w:ascii="Helvetica" w:hAnsi="Helvetica"/>
        </w:rPr>
      </w:pPr>
      <w:r w:rsidRPr="009F041C">
        <w:rPr>
          <w:rFonts w:ascii="Helvetica" w:hAnsi="Helvetica"/>
        </w:rPr>
        <w:t>DDA’s consultant studied the data and found similar trends and patterns of regional variation in eligibility determinations.  The consultant found:</w:t>
      </w:r>
    </w:p>
    <w:p w14:paraId="0FB9BC72" w14:textId="77777777" w:rsidR="009F041C" w:rsidRPr="009F041C" w:rsidRDefault="009F041C" w:rsidP="009F041C">
      <w:pPr>
        <w:rPr>
          <w:rFonts w:ascii="Helvetica" w:hAnsi="Helvetica"/>
        </w:rPr>
      </w:pPr>
    </w:p>
    <w:p w14:paraId="637F2140" w14:textId="77777777" w:rsidR="009F041C" w:rsidRPr="009F041C" w:rsidRDefault="009F041C" w:rsidP="009F041C">
      <w:pPr>
        <w:ind w:left="720" w:right="720"/>
        <w:rPr>
          <w:rFonts w:ascii="Helvetica" w:hAnsi="Helvetica"/>
          <w:sz w:val="23"/>
          <w:szCs w:val="23"/>
        </w:rPr>
      </w:pPr>
      <w:r w:rsidRPr="009F041C">
        <w:rPr>
          <w:rFonts w:ascii="Helvetica" w:hAnsi="Helvetica"/>
          <w:sz w:val="23"/>
          <w:szCs w:val="23"/>
        </w:rPr>
        <w:t>We reviewed CY2015 statewide applicant data gathered by the Western Regional Office for the entire state. This included data on all 1,415 applicants for the 12 months in CY2015. We analyzed the data by regions to determine if variability existed in the eligibility determination process. While a certain amount of variability is expected across jurisdictions due to issues such as urban- rural- suburban, under served, density of services, etc., the variability illustrated in Table II on the next page suggests a reliability problem due to an absence of common measures. For example, an applicant’s chances of being determined as eligible are twice as good in the Southern Region as in the Western Region. In other words, the odds of being determined as eligible in the Southern Region are nearly two in three (60%), in contrast to the odds in the Western Region of about one in three (30%). Again, variability (2-5%) around a statewide average of 50% is to be expected; however, the processes that result in these disparities between the regions are in need of improved reliability.</w:t>
      </w:r>
    </w:p>
    <w:p w14:paraId="1F2B8B2A" w14:textId="77777777" w:rsidR="009F041C" w:rsidRPr="009F041C" w:rsidRDefault="009F041C" w:rsidP="009F041C">
      <w:pPr>
        <w:rPr>
          <w:rFonts w:ascii="Helvetica" w:hAnsi="Helvetica"/>
          <w:sz w:val="23"/>
          <w:szCs w:val="23"/>
        </w:rPr>
      </w:pPr>
    </w:p>
    <w:p w14:paraId="648687D9" w14:textId="77777777" w:rsidR="009F041C" w:rsidRDefault="009F041C" w:rsidP="009F041C">
      <w:pPr>
        <w:jc w:val="center"/>
      </w:pPr>
      <w:r w:rsidRPr="00345510">
        <w:rPr>
          <w:noProof/>
        </w:rPr>
        <w:drawing>
          <wp:inline distT="0" distB="0" distL="0" distR="0" wp14:anchorId="2E8CFBB6" wp14:editId="71A142E4">
            <wp:extent cx="5264023" cy="247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426" cy="2485823"/>
                    </a:xfrm>
                    <a:prstGeom prst="rect">
                      <a:avLst/>
                    </a:prstGeom>
                    <a:noFill/>
                    <a:ln>
                      <a:noFill/>
                    </a:ln>
                  </pic:spPr>
                </pic:pic>
              </a:graphicData>
            </a:graphic>
          </wp:inline>
        </w:drawing>
      </w:r>
    </w:p>
    <w:p w14:paraId="18167583" w14:textId="77777777" w:rsidR="009F041C" w:rsidRDefault="009F041C" w:rsidP="009F041C"/>
    <w:p w14:paraId="30A6E8B9" w14:textId="77777777" w:rsidR="009F041C" w:rsidRPr="009F041C" w:rsidRDefault="009F041C" w:rsidP="009F041C">
      <w:pPr>
        <w:rPr>
          <w:rFonts w:ascii="Helvetica" w:hAnsi="Helvetica"/>
        </w:rPr>
      </w:pPr>
      <w:r w:rsidRPr="009F041C">
        <w:rPr>
          <w:rFonts w:ascii="Helvetica" w:hAnsi="Helvetica"/>
        </w:rPr>
        <w:t>Though DDA has responded to Coalition pressure to make changes to ensure the integrity of eligibility determinations, the systems issues have not yet been resolved.  DRM assisted 54 people in eligibility determination cases, many of which are still unresolved.</w:t>
      </w:r>
    </w:p>
    <w:p w14:paraId="0E3ADBA6" w14:textId="77777777" w:rsidR="009F041C" w:rsidRPr="009F041C" w:rsidRDefault="009F041C" w:rsidP="009F041C">
      <w:pPr>
        <w:rPr>
          <w:rFonts w:ascii="Helvetica" w:hAnsi="Helvetica"/>
        </w:rPr>
      </w:pPr>
    </w:p>
    <w:p w14:paraId="03092C00" w14:textId="77777777" w:rsidR="009F041C" w:rsidRPr="009F041C" w:rsidRDefault="009F041C" w:rsidP="009F041C">
      <w:pPr>
        <w:rPr>
          <w:rFonts w:ascii="Helvetica" w:hAnsi="Helvetica"/>
          <w:b/>
        </w:rPr>
      </w:pPr>
      <w:r w:rsidRPr="009F041C">
        <w:rPr>
          <w:rFonts w:ascii="Helvetica" w:hAnsi="Helvetica"/>
          <w:b/>
        </w:rPr>
        <w:t>Institutions</w:t>
      </w:r>
    </w:p>
    <w:p w14:paraId="11E9B46D" w14:textId="77777777" w:rsidR="009F041C" w:rsidRPr="009F041C" w:rsidRDefault="009F041C" w:rsidP="009F041C">
      <w:pPr>
        <w:rPr>
          <w:rFonts w:ascii="Helvetica" w:hAnsi="Helvetica"/>
        </w:rPr>
      </w:pPr>
      <w:r w:rsidRPr="009F041C">
        <w:rPr>
          <w:rFonts w:ascii="Helvetica" w:hAnsi="Helvetica"/>
        </w:rPr>
        <w:t xml:space="preserve">The state of Maryland has two remaining ICFs/IID: Holly Center with 61 residents and Potomac Center with 39 residents.  The state also has about 30 people in short term </w:t>
      </w:r>
      <w:r w:rsidRPr="009F041C">
        <w:rPr>
          <w:rFonts w:ascii="Helvetica" w:hAnsi="Helvetica"/>
        </w:rPr>
        <w:lastRenderedPageBreak/>
        <w:t>stay Secure Evaluation and Therapeutic Treatment (SETT) facilities for people involved with the criminal justice system.  Though the number of residents in the ICFs/IID is gradually falling and the SETTs have stayed under capacity in recent years, people with DD are still facing unnecessary institutionalization in nursing facilities and psychiatric hospitals.  Though we don’t have numbers, we continue to receive intakes for these clients, and when we try to obtain discharges to community based services, we encounter systemic barriers that prevent our clients from leaving.</w:t>
      </w:r>
    </w:p>
    <w:p w14:paraId="4DBB6475" w14:textId="77777777" w:rsidR="009F041C" w:rsidRPr="009F041C" w:rsidRDefault="009F041C" w:rsidP="009F041C">
      <w:pPr>
        <w:rPr>
          <w:rFonts w:ascii="Helvetica" w:hAnsi="Helvetica"/>
        </w:rPr>
      </w:pPr>
    </w:p>
    <w:p w14:paraId="2909C974" w14:textId="77777777" w:rsidR="009F041C" w:rsidRPr="009F041C" w:rsidRDefault="009F041C" w:rsidP="009F041C">
      <w:pPr>
        <w:rPr>
          <w:rFonts w:ascii="Helvetica" w:hAnsi="Helvetica"/>
          <w:b/>
        </w:rPr>
      </w:pPr>
      <w:r w:rsidRPr="009F041C">
        <w:rPr>
          <w:rFonts w:ascii="Helvetica" w:hAnsi="Helvetica"/>
          <w:b/>
        </w:rPr>
        <w:t>Abuse/Neglect</w:t>
      </w:r>
    </w:p>
    <w:p w14:paraId="77821EA9" w14:textId="77777777" w:rsidR="009F041C" w:rsidRPr="009F041C" w:rsidRDefault="009F041C" w:rsidP="009F041C">
      <w:pPr>
        <w:rPr>
          <w:rFonts w:ascii="Helvetica" w:hAnsi="Helvetica"/>
        </w:rPr>
      </w:pPr>
      <w:r w:rsidRPr="009F041C">
        <w:rPr>
          <w:rFonts w:ascii="Helvetica" w:hAnsi="Helvetica"/>
        </w:rPr>
        <w:t xml:space="preserve">DRM analyzed data for provider-reported incidents of abuse, neglect, deaths, medication errors, hospital admissions, restraint, etc.  Last year we reported that in a </w:t>
      </w:r>
      <w:proofErr w:type="gramStart"/>
      <w:r w:rsidRPr="009F041C">
        <w:rPr>
          <w:rFonts w:ascii="Helvetica" w:hAnsi="Helvetica"/>
        </w:rPr>
        <w:t>six month</w:t>
      </w:r>
      <w:proofErr w:type="gramEnd"/>
      <w:r w:rsidRPr="009F041C">
        <w:rPr>
          <w:rFonts w:ascii="Helvetica" w:hAnsi="Helvetica"/>
        </w:rPr>
        <w:t xml:space="preserve"> period, incident reports increased 15% and specifically there was: </w:t>
      </w:r>
    </w:p>
    <w:p w14:paraId="55DF2A16" w14:textId="77777777" w:rsidR="009F041C" w:rsidRPr="009F041C" w:rsidRDefault="009F041C" w:rsidP="009F041C">
      <w:pPr>
        <w:rPr>
          <w:rFonts w:ascii="Helvetica" w:hAnsi="Helvetica"/>
        </w:rPr>
      </w:pPr>
      <w:r w:rsidRPr="009F041C">
        <w:rPr>
          <w:rFonts w:ascii="Helvetica" w:hAnsi="Helvetica"/>
        </w:rPr>
        <w:t xml:space="preserve">• </w:t>
      </w:r>
      <w:proofErr w:type="gramStart"/>
      <w:r w:rsidRPr="009F041C">
        <w:rPr>
          <w:rFonts w:ascii="Helvetica" w:hAnsi="Helvetica"/>
        </w:rPr>
        <w:t>A</w:t>
      </w:r>
      <w:proofErr w:type="gramEnd"/>
      <w:r w:rsidRPr="009F041C">
        <w:rPr>
          <w:rFonts w:ascii="Helvetica" w:hAnsi="Helvetica"/>
        </w:rPr>
        <w:t xml:space="preserve"> 10% increase in each of the following categories: abuse, hospital admissions and emergency room visits, and injuries; </w:t>
      </w:r>
    </w:p>
    <w:p w14:paraId="6D5E6F06" w14:textId="77777777" w:rsidR="009F041C" w:rsidRPr="009F041C" w:rsidRDefault="009F041C" w:rsidP="009F041C">
      <w:pPr>
        <w:rPr>
          <w:rFonts w:ascii="Helvetica" w:hAnsi="Helvetica"/>
        </w:rPr>
      </w:pPr>
      <w:r w:rsidRPr="009F041C">
        <w:rPr>
          <w:rFonts w:ascii="Helvetica" w:hAnsi="Helvetica"/>
        </w:rPr>
        <w:t xml:space="preserve">• </w:t>
      </w:r>
      <w:proofErr w:type="gramStart"/>
      <w:r w:rsidRPr="009F041C">
        <w:rPr>
          <w:rFonts w:ascii="Helvetica" w:hAnsi="Helvetica"/>
        </w:rPr>
        <w:t>A</w:t>
      </w:r>
      <w:proofErr w:type="gramEnd"/>
      <w:r w:rsidRPr="009F041C">
        <w:rPr>
          <w:rFonts w:ascii="Helvetica" w:hAnsi="Helvetica"/>
        </w:rPr>
        <w:t xml:space="preserve"> 20% increase in reported medication errors; </w:t>
      </w:r>
    </w:p>
    <w:p w14:paraId="5AD61BA2" w14:textId="77777777" w:rsidR="009F041C" w:rsidRPr="009F041C" w:rsidRDefault="009F041C" w:rsidP="009F041C">
      <w:pPr>
        <w:rPr>
          <w:rFonts w:ascii="Helvetica" w:hAnsi="Helvetica"/>
        </w:rPr>
      </w:pPr>
      <w:r w:rsidRPr="009F041C">
        <w:rPr>
          <w:rFonts w:ascii="Helvetica" w:hAnsi="Helvetica"/>
        </w:rPr>
        <w:t xml:space="preserve">• </w:t>
      </w:r>
      <w:proofErr w:type="gramStart"/>
      <w:r w:rsidRPr="009F041C">
        <w:rPr>
          <w:rFonts w:ascii="Helvetica" w:hAnsi="Helvetica"/>
        </w:rPr>
        <w:t>A</w:t>
      </w:r>
      <w:proofErr w:type="gramEnd"/>
      <w:r w:rsidRPr="009F041C">
        <w:rPr>
          <w:rFonts w:ascii="Helvetica" w:hAnsi="Helvetica"/>
        </w:rPr>
        <w:t xml:space="preserve"> 25% increase in reported neglect; </w:t>
      </w:r>
    </w:p>
    <w:p w14:paraId="62EF09C4" w14:textId="77777777" w:rsidR="009F041C" w:rsidRPr="009F041C" w:rsidRDefault="009F041C" w:rsidP="009F041C">
      <w:pPr>
        <w:rPr>
          <w:rFonts w:ascii="Helvetica" w:hAnsi="Helvetica"/>
        </w:rPr>
      </w:pPr>
      <w:r w:rsidRPr="009F041C">
        <w:rPr>
          <w:rFonts w:ascii="Helvetica" w:hAnsi="Helvetica"/>
        </w:rPr>
        <w:t xml:space="preserve">• A 22% increase in unauthorized restraints; and </w:t>
      </w:r>
    </w:p>
    <w:p w14:paraId="07567DF9" w14:textId="77777777" w:rsidR="009F041C" w:rsidRPr="009F041C" w:rsidRDefault="009F041C" w:rsidP="009F041C">
      <w:pPr>
        <w:rPr>
          <w:rFonts w:ascii="Helvetica" w:hAnsi="Helvetica"/>
        </w:rPr>
      </w:pPr>
      <w:r w:rsidRPr="009F041C">
        <w:rPr>
          <w:rFonts w:ascii="Helvetica" w:hAnsi="Helvetica"/>
        </w:rPr>
        <w:t xml:space="preserve">• </w:t>
      </w:r>
      <w:proofErr w:type="gramStart"/>
      <w:r w:rsidRPr="009F041C">
        <w:rPr>
          <w:rFonts w:ascii="Helvetica" w:hAnsi="Helvetica"/>
        </w:rPr>
        <w:t>A</w:t>
      </w:r>
      <w:proofErr w:type="gramEnd"/>
      <w:r w:rsidRPr="009F041C">
        <w:rPr>
          <w:rFonts w:ascii="Helvetica" w:hAnsi="Helvetica"/>
        </w:rPr>
        <w:t xml:space="preserve"> 67% increase in chemical restraints in state institutions. </w:t>
      </w:r>
    </w:p>
    <w:p w14:paraId="1C2B5DCD" w14:textId="77777777" w:rsidR="009F041C" w:rsidRPr="009F041C" w:rsidRDefault="009F041C" w:rsidP="009F041C">
      <w:pPr>
        <w:rPr>
          <w:rFonts w:ascii="Helvetica" w:hAnsi="Helvetica"/>
        </w:rPr>
      </w:pPr>
    </w:p>
    <w:p w14:paraId="46BA389F" w14:textId="77777777" w:rsidR="009F041C" w:rsidRPr="009F041C" w:rsidRDefault="009F041C" w:rsidP="009F041C">
      <w:pPr>
        <w:rPr>
          <w:rFonts w:ascii="Helvetica" w:hAnsi="Helvetica"/>
        </w:rPr>
      </w:pPr>
      <w:r w:rsidRPr="009F041C">
        <w:rPr>
          <w:rFonts w:ascii="Helvetica" w:hAnsi="Helvetica"/>
        </w:rPr>
        <w:t xml:space="preserve">This year, for a </w:t>
      </w:r>
      <w:proofErr w:type="gramStart"/>
      <w:r w:rsidRPr="009F041C">
        <w:rPr>
          <w:rFonts w:ascii="Helvetica" w:hAnsi="Helvetica"/>
        </w:rPr>
        <w:t>12 month</w:t>
      </w:r>
      <w:proofErr w:type="gramEnd"/>
      <w:r w:rsidRPr="009F041C">
        <w:rPr>
          <w:rFonts w:ascii="Helvetica" w:hAnsi="Helvetica"/>
        </w:rPr>
        <w:t xml:space="preserve"> period, significant changes in numbers were:</w:t>
      </w:r>
    </w:p>
    <w:p w14:paraId="711AF99C" w14:textId="77777777" w:rsidR="009F041C" w:rsidRPr="009F041C" w:rsidRDefault="009F041C" w:rsidP="009F041C">
      <w:pPr>
        <w:pStyle w:val="ListParagraph"/>
        <w:numPr>
          <w:ilvl w:val="0"/>
          <w:numId w:val="6"/>
        </w:numPr>
        <w:contextualSpacing/>
        <w:rPr>
          <w:rFonts w:ascii="Helvetica" w:hAnsi="Helvetica"/>
        </w:rPr>
      </w:pPr>
      <w:r w:rsidRPr="009F041C">
        <w:rPr>
          <w:rFonts w:ascii="Helvetica" w:hAnsi="Helvetica"/>
        </w:rPr>
        <w:t>A 13% increase in the number of abuse reports</w:t>
      </w:r>
    </w:p>
    <w:p w14:paraId="32E6CB4F" w14:textId="77777777" w:rsidR="009F041C" w:rsidRPr="009F041C" w:rsidRDefault="009F041C" w:rsidP="009F041C">
      <w:pPr>
        <w:pStyle w:val="ListParagraph"/>
        <w:numPr>
          <w:ilvl w:val="0"/>
          <w:numId w:val="6"/>
        </w:numPr>
        <w:contextualSpacing/>
        <w:rPr>
          <w:rFonts w:ascii="Helvetica" w:hAnsi="Helvetica"/>
        </w:rPr>
      </w:pPr>
      <w:r w:rsidRPr="009F041C">
        <w:rPr>
          <w:rFonts w:ascii="Helvetica" w:hAnsi="Helvetica"/>
        </w:rPr>
        <w:t>A 15% increase in the number of psychiatric admissions</w:t>
      </w:r>
    </w:p>
    <w:p w14:paraId="5B12766E" w14:textId="77777777" w:rsidR="009F041C" w:rsidRPr="009F041C" w:rsidRDefault="009F041C" w:rsidP="009F041C">
      <w:pPr>
        <w:pStyle w:val="ListParagraph"/>
        <w:numPr>
          <w:ilvl w:val="0"/>
          <w:numId w:val="6"/>
        </w:numPr>
        <w:contextualSpacing/>
        <w:rPr>
          <w:rFonts w:ascii="Helvetica" w:hAnsi="Helvetica"/>
        </w:rPr>
      </w:pPr>
      <w:r w:rsidRPr="009F041C">
        <w:rPr>
          <w:rFonts w:ascii="Helvetica" w:hAnsi="Helvetica"/>
        </w:rPr>
        <w:t>A 7% reduction in medication errors</w:t>
      </w:r>
    </w:p>
    <w:p w14:paraId="6E5646E7" w14:textId="77777777" w:rsidR="009F041C" w:rsidRPr="009F041C" w:rsidRDefault="009F041C" w:rsidP="009F041C">
      <w:pPr>
        <w:pStyle w:val="ListParagraph"/>
        <w:numPr>
          <w:ilvl w:val="0"/>
          <w:numId w:val="6"/>
        </w:numPr>
        <w:contextualSpacing/>
        <w:rPr>
          <w:rFonts w:ascii="Helvetica" w:hAnsi="Helvetica"/>
        </w:rPr>
      </w:pPr>
      <w:r w:rsidRPr="009F041C">
        <w:rPr>
          <w:rFonts w:ascii="Helvetica" w:hAnsi="Helvetica"/>
        </w:rPr>
        <w:t>A 40% reduction in the use of chemical restrains (which are almost exclusively in one state institution); and</w:t>
      </w:r>
    </w:p>
    <w:p w14:paraId="7EEB102A" w14:textId="77777777" w:rsidR="009F041C" w:rsidRPr="009F041C" w:rsidRDefault="009F041C" w:rsidP="009F041C">
      <w:pPr>
        <w:pStyle w:val="ListParagraph"/>
        <w:numPr>
          <w:ilvl w:val="0"/>
          <w:numId w:val="6"/>
        </w:numPr>
        <w:contextualSpacing/>
        <w:rPr>
          <w:rFonts w:ascii="Helvetica" w:hAnsi="Helvetica"/>
        </w:rPr>
      </w:pPr>
      <w:r w:rsidRPr="009F041C">
        <w:rPr>
          <w:rFonts w:ascii="Helvetica" w:hAnsi="Helvetica"/>
        </w:rPr>
        <w:t>A 41% increase in the use of unauthorized restraints.</w:t>
      </w:r>
    </w:p>
    <w:p w14:paraId="1AD80C07" w14:textId="77777777" w:rsidR="009F041C" w:rsidRPr="009F041C" w:rsidRDefault="009F041C" w:rsidP="009F041C">
      <w:pPr>
        <w:rPr>
          <w:rFonts w:ascii="Helvetica" w:hAnsi="Helvetica"/>
        </w:rPr>
      </w:pPr>
    </w:p>
    <w:p w14:paraId="6D522A41" w14:textId="77777777" w:rsidR="009F041C" w:rsidRPr="009F041C" w:rsidRDefault="009F041C" w:rsidP="009F041C">
      <w:pPr>
        <w:rPr>
          <w:rFonts w:ascii="Helvetica" w:hAnsi="Helvetica"/>
        </w:rPr>
      </w:pPr>
      <w:r w:rsidRPr="009F041C">
        <w:rPr>
          <w:rFonts w:ascii="Helvetica" w:hAnsi="Helvetica"/>
        </w:rPr>
        <w:t xml:space="preserve">DRM has long been concerned about the steady increases in psychiatric admissions, which signal a possible failure of adequate community supports.  The leap in unauthorized restraints requires further investigation in the next fiscal </w:t>
      </w:r>
      <w:proofErr w:type="gramStart"/>
      <w:r w:rsidRPr="009F041C">
        <w:rPr>
          <w:rFonts w:ascii="Helvetica" w:hAnsi="Helvetica"/>
        </w:rPr>
        <w:t>year</w:t>
      </w:r>
      <w:proofErr w:type="gramEnd"/>
      <w:r w:rsidRPr="009F041C">
        <w:rPr>
          <w:rFonts w:ascii="Helvetica" w:hAnsi="Helvetica"/>
        </w:rPr>
        <w:t xml:space="preserve"> as does the steady growth rate of abuse reports.</w:t>
      </w:r>
    </w:p>
    <w:p w14:paraId="042BE4EC" w14:textId="77777777" w:rsidR="009F041C" w:rsidRPr="009F041C" w:rsidRDefault="009F041C" w:rsidP="009F041C">
      <w:pPr>
        <w:rPr>
          <w:rFonts w:ascii="Helvetica" w:hAnsi="Helvetica"/>
        </w:rPr>
      </w:pPr>
    </w:p>
    <w:p w14:paraId="22F9D507" w14:textId="77777777" w:rsidR="009F041C" w:rsidRPr="009F041C" w:rsidRDefault="009F041C" w:rsidP="009F041C">
      <w:pPr>
        <w:rPr>
          <w:rFonts w:ascii="Helvetica" w:hAnsi="Helvetica"/>
        </w:rPr>
      </w:pPr>
      <w:r w:rsidRPr="009F041C">
        <w:rPr>
          <w:rFonts w:ascii="Helvetica" w:hAnsi="Helvetica"/>
        </w:rPr>
        <w:t xml:space="preserve">The Office of Health Care Quality (OHCQ) is responsible for regulating nursing facilities, assisted living, numerous medical facilities as well as DD provider agencies and institutions.  OHCQ is required to perform annual licensure and regulatory compliance monitoring of each site operated by over 200 DDA provider agencies.  The total annual OHCQ budget for all of its operations is just over $20 million compared DDA’s annual budget of over $1 billion.  OHCQ has recently strengthened its DD Unit oversight capability but its annual report in December 2015 documented on-site OHCQ investigations for only 6.5% of the combined complaints received and provider reported incidents.  OHCQ’s DD unit performed 77 </w:t>
      </w:r>
      <w:proofErr w:type="spellStart"/>
      <w:r w:rsidRPr="009F041C">
        <w:rPr>
          <w:rFonts w:ascii="Helvetica" w:hAnsi="Helvetica"/>
        </w:rPr>
        <w:t>relicensure</w:t>
      </w:r>
      <w:proofErr w:type="spellEnd"/>
      <w:r w:rsidRPr="009F041C">
        <w:rPr>
          <w:rFonts w:ascii="Helvetica" w:hAnsi="Helvetica"/>
        </w:rPr>
        <w:t xml:space="preserve"> surveys and 66 initial site surveys. </w:t>
      </w:r>
    </w:p>
    <w:p w14:paraId="656E3639" w14:textId="77777777" w:rsidR="009F041C" w:rsidRPr="009F041C" w:rsidRDefault="009F041C" w:rsidP="009F041C">
      <w:pPr>
        <w:rPr>
          <w:rFonts w:ascii="Helvetica" w:hAnsi="Helvetica"/>
        </w:rPr>
      </w:pPr>
    </w:p>
    <w:p w14:paraId="502309E3" w14:textId="77777777" w:rsidR="009F041C" w:rsidRPr="009F041C" w:rsidRDefault="009F041C" w:rsidP="009F041C">
      <w:pPr>
        <w:rPr>
          <w:rFonts w:ascii="Helvetica" w:hAnsi="Helvetica"/>
          <w:b/>
        </w:rPr>
      </w:pPr>
      <w:r w:rsidRPr="009F041C">
        <w:rPr>
          <w:rFonts w:ascii="Helvetica" w:hAnsi="Helvetica"/>
          <w:b/>
        </w:rPr>
        <w:t>Children:  Education and Inclusive Child Care</w:t>
      </w:r>
    </w:p>
    <w:p w14:paraId="6B3F39DB" w14:textId="77777777" w:rsidR="009F041C" w:rsidRPr="009F041C" w:rsidRDefault="009F041C" w:rsidP="009F041C">
      <w:pPr>
        <w:rPr>
          <w:rFonts w:ascii="Helvetica" w:hAnsi="Helvetica"/>
          <w:b/>
        </w:rPr>
      </w:pPr>
    </w:p>
    <w:p w14:paraId="739B7214" w14:textId="77777777" w:rsidR="009F041C" w:rsidRPr="009F041C" w:rsidRDefault="009F041C" w:rsidP="009F041C">
      <w:pPr>
        <w:rPr>
          <w:rFonts w:ascii="Helvetica" w:hAnsi="Helvetica"/>
        </w:rPr>
      </w:pPr>
      <w:r w:rsidRPr="009F041C">
        <w:rPr>
          <w:rFonts w:ascii="Helvetica" w:hAnsi="Helvetica"/>
        </w:rPr>
        <w:lastRenderedPageBreak/>
        <w:t xml:space="preserve">Though DRM represented 32 children in special education and inclusive </w:t>
      </w:r>
      <w:proofErr w:type="gramStart"/>
      <w:r w:rsidRPr="009F041C">
        <w:rPr>
          <w:rFonts w:ascii="Helvetica" w:hAnsi="Helvetica"/>
        </w:rPr>
        <w:t>child care</w:t>
      </w:r>
      <w:proofErr w:type="gramEnd"/>
      <w:r w:rsidRPr="009F041C">
        <w:rPr>
          <w:rFonts w:ascii="Helvetica" w:hAnsi="Helvetica"/>
        </w:rPr>
        <w:t xml:space="preserve"> cases from October 1, 2015 to August 31, 2016, we also received 103 calls for help but could only provide information and referral to these families.  </w:t>
      </w:r>
    </w:p>
    <w:p w14:paraId="2D745C48" w14:textId="77777777" w:rsidR="009F041C" w:rsidRPr="009F041C" w:rsidRDefault="009F041C" w:rsidP="009F041C">
      <w:pPr>
        <w:rPr>
          <w:rFonts w:ascii="Helvetica" w:hAnsi="Helvetica"/>
          <w:b/>
        </w:rPr>
      </w:pPr>
    </w:p>
    <w:p w14:paraId="6405091A" w14:textId="77777777" w:rsidR="009F041C" w:rsidRPr="009F041C" w:rsidRDefault="009F041C" w:rsidP="009F041C">
      <w:pPr>
        <w:rPr>
          <w:rFonts w:ascii="Helvetica" w:hAnsi="Helvetica"/>
          <w:b/>
        </w:rPr>
      </w:pPr>
      <w:r w:rsidRPr="009F041C">
        <w:rPr>
          <w:rFonts w:ascii="Helvetica" w:hAnsi="Helvetica"/>
          <w:b/>
        </w:rPr>
        <w:t>Medicaid</w:t>
      </w:r>
    </w:p>
    <w:p w14:paraId="303B0735" w14:textId="77777777" w:rsidR="009F041C" w:rsidRPr="009F041C" w:rsidRDefault="009F041C" w:rsidP="009F041C">
      <w:pPr>
        <w:rPr>
          <w:rFonts w:ascii="Helvetica" w:hAnsi="Helvetica"/>
        </w:rPr>
      </w:pPr>
      <w:r w:rsidRPr="009F041C">
        <w:rPr>
          <w:rFonts w:ascii="Helvetica" w:hAnsi="Helvetica"/>
        </w:rPr>
        <w:t xml:space="preserve">From November 1, 2015 through August 22, 2016, the HOMES Project has handled approximately 100 Service Requests coded as cases and provided </w:t>
      </w:r>
      <w:proofErr w:type="gramStart"/>
      <w:r w:rsidRPr="009F041C">
        <w:rPr>
          <w:rFonts w:ascii="Helvetica" w:hAnsi="Helvetica"/>
        </w:rPr>
        <w:t>I&amp;R</w:t>
      </w:r>
      <w:proofErr w:type="gramEnd"/>
      <w:r w:rsidRPr="009F041C">
        <w:rPr>
          <w:rFonts w:ascii="Helvetica" w:hAnsi="Helvetica"/>
        </w:rPr>
        <w:t xml:space="preserve"> in 74 additional service requests.</w:t>
      </w:r>
    </w:p>
    <w:p w14:paraId="63905125" w14:textId="77777777" w:rsidR="009F041C" w:rsidRPr="009F041C" w:rsidRDefault="009F041C" w:rsidP="009F041C">
      <w:pPr>
        <w:rPr>
          <w:rFonts w:ascii="Helvetica" w:hAnsi="Helvetica"/>
        </w:rPr>
      </w:pPr>
    </w:p>
    <w:p w14:paraId="3285F0ED" w14:textId="77777777" w:rsidR="009F041C" w:rsidRPr="009F041C" w:rsidRDefault="009F041C" w:rsidP="009F041C">
      <w:pPr>
        <w:rPr>
          <w:rFonts w:ascii="Helvetica" w:hAnsi="Helvetica"/>
        </w:rPr>
      </w:pPr>
      <w:r w:rsidRPr="009F041C">
        <w:rPr>
          <w:rFonts w:ascii="Helvetica" w:hAnsi="Helvetica"/>
        </w:rPr>
        <w:t>DRM has been advocating for Maryland Medicaid to cover Applied Behavior Analysis (ABA) therapy since CMS released a Bulletin in July 2014 on Medicaid services for children with Autism Spectrum Disorder.  Maryland’s Medicaid Program is now moving ahead with plans to add this service to its State Plan in January 2017 and has just released proposed regulations.  The estimate is that 700 children on Medicaid will be eligible to receive ABA treatment in the first 6 months increasing to approximately 1,400 children by the end of the fiscal year.  The State has projected additional expenditures of $13,390,440 over one year to cover these services.</w:t>
      </w:r>
    </w:p>
    <w:p w14:paraId="577890EF" w14:textId="77777777" w:rsidR="009F041C" w:rsidRPr="009F041C" w:rsidRDefault="009F041C" w:rsidP="009F041C">
      <w:pPr>
        <w:rPr>
          <w:rFonts w:ascii="Helvetica" w:hAnsi="Helvetica"/>
        </w:rPr>
      </w:pPr>
    </w:p>
    <w:p w14:paraId="475CFCB0" w14:textId="77777777" w:rsidR="009F041C" w:rsidRPr="009F041C" w:rsidRDefault="009F041C" w:rsidP="009F041C">
      <w:pPr>
        <w:rPr>
          <w:rFonts w:ascii="Helvetica" w:hAnsi="Helvetica" w:cs="Helvetica"/>
        </w:rPr>
      </w:pPr>
      <w:r w:rsidRPr="009F041C">
        <w:rPr>
          <w:rFonts w:ascii="Helvetica" w:hAnsi="Helvetica" w:cs="Helvetica"/>
        </w:rPr>
        <w:t>More than 18% of Maryland’s population – over 1,084,000 low-income children and adults (over 272,000 in Baltimore City) – are Medical Assistance recipients, legally entitled to a range of essential health care services.  It is estimated that 13.4% of Marylanders have a disability (15.5% in Baltimore City, a percentage that has been increasing).</w:t>
      </w:r>
    </w:p>
    <w:p w14:paraId="5556B9F0" w14:textId="77777777" w:rsidR="009F041C" w:rsidRPr="009F041C" w:rsidRDefault="009F041C" w:rsidP="009F041C">
      <w:pPr>
        <w:rPr>
          <w:rFonts w:ascii="Helvetica" w:hAnsi="Helvetica"/>
        </w:rPr>
      </w:pPr>
    </w:p>
    <w:p w14:paraId="7B280965" w14:textId="77777777" w:rsidR="009F041C" w:rsidRPr="009F041C" w:rsidRDefault="009F041C" w:rsidP="009F041C">
      <w:pPr>
        <w:rPr>
          <w:rFonts w:ascii="Helvetica" w:hAnsi="Helvetica"/>
          <w:b/>
        </w:rPr>
      </w:pPr>
      <w:r w:rsidRPr="009F041C">
        <w:rPr>
          <w:rFonts w:ascii="Helvetica" w:hAnsi="Helvetica"/>
          <w:b/>
        </w:rPr>
        <w:t>DRM Experience</w:t>
      </w:r>
    </w:p>
    <w:p w14:paraId="49FD6665" w14:textId="77777777" w:rsidR="009F041C" w:rsidRPr="009F041C" w:rsidRDefault="009F041C" w:rsidP="009F041C">
      <w:pPr>
        <w:rPr>
          <w:rFonts w:ascii="Helvetica" w:hAnsi="Helvetica"/>
        </w:rPr>
      </w:pPr>
      <w:r w:rsidRPr="009F041C">
        <w:rPr>
          <w:rFonts w:ascii="Helvetica" w:hAnsi="Helvetica"/>
        </w:rPr>
        <w:t xml:space="preserve">DRM experience working with people with disabilities, families, advocates, professionals, and state agencies has been extremely informative about the specific wants and needs of people with DD, how they are treated, and whether state agencies are complying with legal requirements to deliver safe appropriate services in integrated settings.  For example, after working on several administrative appeals of DDA eligibility denials, DRM learned that DDA has been changing its eligibility criteria and does not have an objective means of assessing eligibility.  </w:t>
      </w:r>
      <w:proofErr w:type="gramStart"/>
      <w:r w:rsidRPr="009F041C">
        <w:rPr>
          <w:rFonts w:ascii="Helvetica" w:hAnsi="Helvetica"/>
        </w:rPr>
        <w:t>Our view was vindicated by an expert hired by DDA</w:t>
      </w:r>
      <w:proofErr w:type="gramEnd"/>
      <w:r w:rsidRPr="009F041C">
        <w:rPr>
          <w:rFonts w:ascii="Helvetica" w:hAnsi="Helvetica"/>
        </w:rPr>
        <w:t xml:space="preserve">.  We also learned from experience that DDA has been systematically denying eligibility to children.  Through advocacy by DRM and the DD Coalition, DDA agreed to review the eligibility denials of 1,245 children.  Of the 1,008 children reviewed so far, DDA has reversed 353 denials so these children are now eligible for services.  For more on this topic, see PPR.  </w:t>
      </w:r>
    </w:p>
    <w:p w14:paraId="194E1087" w14:textId="77777777" w:rsidR="009F041C" w:rsidRPr="009F041C" w:rsidRDefault="009F041C" w:rsidP="009F041C">
      <w:pPr>
        <w:rPr>
          <w:rFonts w:ascii="Helvetica" w:hAnsi="Helvetica"/>
        </w:rPr>
      </w:pPr>
    </w:p>
    <w:p w14:paraId="62DCCABB" w14:textId="77777777" w:rsidR="009F041C" w:rsidRPr="009F041C" w:rsidRDefault="009F041C" w:rsidP="009F041C">
      <w:pPr>
        <w:rPr>
          <w:rFonts w:ascii="Helvetica" w:hAnsi="Helvetica"/>
        </w:rPr>
      </w:pPr>
      <w:r w:rsidRPr="009F041C">
        <w:rPr>
          <w:rFonts w:ascii="Helvetica" w:hAnsi="Helvetica"/>
        </w:rPr>
        <w:t xml:space="preserve">DRM is not able to meet the demand for our services. There is no private bar that can deliver the type of legal advocacy that DRM can provide in representing people in abuse and neglect issues and Medicaid waiver eligibility and access cases, though there are two or three private attorneys in the state of Maryland we believe are competent to handle such Medicaid cases. However, these attorneys charge fees that most individuals and families cannot afford. </w:t>
      </w:r>
    </w:p>
    <w:p w14:paraId="4B5A50E8" w14:textId="77777777" w:rsidR="009F041C" w:rsidRPr="009F041C" w:rsidRDefault="009F041C" w:rsidP="009F041C">
      <w:pPr>
        <w:rPr>
          <w:rFonts w:ascii="Helvetica" w:hAnsi="Helvetica"/>
        </w:rPr>
      </w:pPr>
    </w:p>
    <w:p w14:paraId="62DEC07A" w14:textId="77777777" w:rsidR="009F041C" w:rsidRPr="009F041C" w:rsidRDefault="009F041C" w:rsidP="009F041C">
      <w:pPr>
        <w:rPr>
          <w:rFonts w:ascii="Helvetica" w:hAnsi="Helvetica"/>
        </w:rPr>
      </w:pPr>
      <w:r w:rsidRPr="009F041C">
        <w:rPr>
          <w:rFonts w:ascii="Helvetica" w:hAnsi="Helvetica"/>
        </w:rPr>
        <w:t>Our conclusions about systemic issues were corroborated by a series of public meetings held by DDA last fiscal year to gather public comment and input on DDA services, particularly its Medicaid waiver. Individuals and family members consistently complained about lack of access to the system, inadequate services for people with more intensive needs, and poor communication from DDA so that people do not understand their status or benefits.</w:t>
      </w:r>
    </w:p>
    <w:p w14:paraId="168AED40" w14:textId="77777777" w:rsidR="009F041C" w:rsidRPr="009F041C" w:rsidRDefault="009F041C" w:rsidP="009F041C">
      <w:pPr>
        <w:rPr>
          <w:rFonts w:ascii="Helvetica" w:hAnsi="Helvetica"/>
        </w:rPr>
      </w:pPr>
    </w:p>
    <w:p w14:paraId="6ABC7D6D" w14:textId="77777777" w:rsidR="009F041C" w:rsidRPr="009F041C" w:rsidRDefault="009F041C" w:rsidP="009F041C">
      <w:pPr>
        <w:rPr>
          <w:rFonts w:ascii="Helvetica" w:hAnsi="Helvetica"/>
          <w:b/>
        </w:rPr>
      </w:pPr>
      <w:r w:rsidRPr="009F041C">
        <w:rPr>
          <w:rFonts w:ascii="Helvetica" w:hAnsi="Helvetica"/>
          <w:b/>
        </w:rPr>
        <w:t xml:space="preserve">6. Summary of </w:t>
      </w:r>
      <w:proofErr w:type="gramStart"/>
      <w:r w:rsidRPr="009F041C">
        <w:rPr>
          <w:rFonts w:ascii="Helvetica" w:hAnsi="Helvetica"/>
          <w:b/>
        </w:rPr>
        <w:t>How</w:t>
      </w:r>
      <w:proofErr w:type="gramEnd"/>
      <w:r w:rsidRPr="009F041C">
        <w:rPr>
          <w:rFonts w:ascii="Helvetica" w:hAnsi="Helvetica"/>
          <w:b/>
        </w:rPr>
        <w:t xml:space="preserve"> Data was used to Develop P&amp;A Goals and Priorities (include how priority input used, including input from the DDC and UCEDD)</w:t>
      </w:r>
    </w:p>
    <w:p w14:paraId="5C249BE2" w14:textId="77777777" w:rsidR="009F041C" w:rsidRPr="009F041C" w:rsidRDefault="009F041C" w:rsidP="009F041C">
      <w:pPr>
        <w:rPr>
          <w:rFonts w:ascii="Helvetica" w:hAnsi="Helvetica"/>
          <w:b/>
        </w:rPr>
      </w:pPr>
    </w:p>
    <w:p w14:paraId="037D0C6A" w14:textId="77777777" w:rsidR="009F041C" w:rsidRPr="009F041C" w:rsidRDefault="009F041C" w:rsidP="009F041C">
      <w:pPr>
        <w:rPr>
          <w:rFonts w:ascii="Helvetica" w:hAnsi="Helvetica"/>
          <w:b/>
        </w:rPr>
      </w:pPr>
      <w:r w:rsidRPr="009F041C">
        <w:rPr>
          <w:rFonts w:ascii="Helvetica" w:hAnsi="Helvetica"/>
          <w:b/>
        </w:rPr>
        <w:t>Collaborative Project with DDC and MCDD</w:t>
      </w:r>
    </w:p>
    <w:p w14:paraId="6F51F3C7" w14:textId="77777777" w:rsidR="009F041C" w:rsidRPr="009F041C" w:rsidRDefault="009F041C" w:rsidP="009F041C">
      <w:pPr>
        <w:rPr>
          <w:rFonts w:ascii="Helvetica" w:hAnsi="Helvetica"/>
        </w:rPr>
      </w:pPr>
      <w:r w:rsidRPr="009F041C">
        <w:rPr>
          <w:rFonts w:ascii="Helvetica" w:hAnsi="Helvetica"/>
        </w:rPr>
        <w:t xml:space="preserve">DRM conferred with the DD Council and UCEDD about our priorities.  Because so many people with DD, families and professionals are confused about eligibility and access to services in the state service delivery system, DRM has been developing public education materials to help people to understand the system and provide some self-help materials so we can have a broader reach with our limited staff.  However, we believe the materials need to </w:t>
      </w:r>
      <w:proofErr w:type="gramStart"/>
      <w:r w:rsidRPr="009F041C">
        <w:rPr>
          <w:rFonts w:ascii="Helvetica" w:hAnsi="Helvetica"/>
        </w:rPr>
        <w:t>be edited to be more easily used</w:t>
      </w:r>
      <w:proofErr w:type="gramEnd"/>
      <w:r w:rsidRPr="009F041C">
        <w:rPr>
          <w:rFonts w:ascii="Helvetica" w:hAnsi="Helvetica"/>
        </w:rPr>
        <w:t xml:space="preserve">.  The DDC and MCDD agreed that they could work together to develop documents that will be more usable.  The DDC and MCDD will establish a group of people receiving services and family members to consult about what subjects they need, DRM will develop any additional substantive material that is needed, and the DDC and MCDD will edit the documents and work on accessibility and appearance.  DRM will maintain responsibility for the accuracy of the documents.  </w:t>
      </w:r>
    </w:p>
    <w:p w14:paraId="36021F1E" w14:textId="77777777" w:rsidR="009F041C" w:rsidRPr="009F041C" w:rsidRDefault="009F041C" w:rsidP="009F041C">
      <w:pPr>
        <w:rPr>
          <w:rFonts w:ascii="Helvetica" w:hAnsi="Helvetica"/>
        </w:rPr>
      </w:pPr>
    </w:p>
    <w:p w14:paraId="0A708543" w14:textId="77777777" w:rsidR="009F041C" w:rsidRPr="009F041C" w:rsidRDefault="009F041C" w:rsidP="009F041C">
      <w:pPr>
        <w:rPr>
          <w:rFonts w:ascii="Helvetica" w:hAnsi="Helvetica"/>
          <w:b/>
        </w:rPr>
      </w:pPr>
      <w:r w:rsidRPr="009F041C">
        <w:rPr>
          <w:rFonts w:ascii="Helvetica" w:hAnsi="Helvetica"/>
          <w:b/>
        </w:rPr>
        <w:t>DDA Transformation</w:t>
      </w:r>
    </w:p>
    <w:p w14:paraId="19B51A22" w14:textId="77777777" w:rsidR="009F041C" w:rsidRPr="009F041C" w:rsidRDefault="009F041C" w:rsidP="009F041C">
      <w:pPr>
        <w:rPr>
          <w:rFonts w:ascii="Helvetica" w:hAnsi="Helvetica"/>
        </w:rPr>
      </w:pPr>
      <w:proofErr w:type="gramStart"/>
      <w:r w:rsidRPr="009F041C">
        <w:rPr>
          <w:rFonts w:ascii="Helvetica" w:hAnsi="Helvetica"/>
        </w:rPr>
        <w:t>Services and Policies.</w:t>
      </w:r>
      <w:proofErr w:type="gramEnd"/>
      <w:r w:rsidRPr="009F041C">
        <w:rPr>
          <w:rFonts w:ascii="Helvetica" w:hAnsi="Helvetica"/>
        </w:rPr>
        <w:t xml:space="preserve">  DDA is planning changes to most of its services and policies, which will have widespread effect on all of our clients.  DRM plans to comment on as many of the services and policies and proposed regulations that will be promulgated, in order to advocate for our clients’ ability to live in the community with needed supports, obtain services with reasonable promptness and choose from an adequate array of provider agencies.  As a result of our experience with the Employment First work groups, the HCBS Transition Work Group, and the Individual Plan work group, our advocacy is needed to ensure the individual experience is adequately represented. </w:t>
      </w:r>
    </w:p>
    <w:p w14:paraId="53B84612" w14:textId="77777777" w:rsidR="009F041C" w:rsidRPr="009F041C" w:rsidRDefault="009F041C" w:rsidP="009F041C">
      <w:pPr>
        <w:rPr>
          <w:rFonts w:ascii="Helvetica" w:hAnsi="Helvetica"/>
        </w:rPr>
      </w:pPr>
    </w:p>
    <w:p w14:paraId="5F64F176" w14:textId="77777777" w:rsidR="009F041C" w:rsidRPr="009F041C" w:rsidRDefault="009F041C" w:rsidP="009F041C">
      <w:pPr>
        <w:rPr>
          <w:rFonts w:ascii="Helvetica" w:hAnsi="Helvetica"/>
        </w:rPr>
      </w:pPr>
      <w:r w:rsidRPr="009F041C">
        <w:rPr>
          <w:rFonts w:ascii="Helvetica" w:hAnsi="Helvetica"/>
        </w:rPr>
        <w:t>Eligibility. To ensure individuals with DD are not barred from the system due to erroneous eligibility determinations, our study and experience with DDA eligibility issues have confirmed that people need DRM advocacy to protect their interests as DDA changes the eligibility system as well as the accompanying Medicaid waiver level of care issues that need to be addressed in Maryland.</w:t>
      </w:r>
    </w:p>
    <w:p w14:paraId="3E901C4D" w14:textId="77777777" w:rsidR="009F041C" w:rsidRPr="009F041C" w:rsidRDefault="009F041C" w:rsidP="009F041C">
      <w:pPr>
        <w:rPr>
          <w:rFonts w:ascii="Helvetica" w:hAnsi="Helvetica"/>
        </w:rPr>
      </w:pPr>
    </w:p>
    <w:p w14:paraId="783B9F5D" w14:textId="10958429" w:rsidR="009F041C" w:rsidRPr="009F041C" w:rsidRDefault="009F041C" w:rsidP="009F041C">
      <w:pPr>
        <w:rPr>
          <w:rFonts w:ascii="Helvetica" w:hAnsi="Helvetica"/>
        </w:rPr>
      </w:pPr>
      <w:r w:rsidRPr="009F041C">
        <w:rPr>
          <w:rFonts w:ascii="Helvetica" w:hAnsi="Helvetica"/>
        </w:rPr>
        <w:t xml:space="preserve">Waiting List.  With thousands of people with DD waiting for services, DRM has prioritized helping them to establish their correct eligibility and priority status.  We will continue to work on individual cases as well as the systems reform issues that we have </w:t>
      </w:r>
      <w:r w:rsidRPr="009F041C">
        <w:rPr>
          <w:rFonts w:ascii="Helvetica" w:hAnsi="Helvetica"/>
        </w:rPr>
        <w:lastRenderedPageBreak/>
        <w:t xml:space="preserve">identified.  DRM has been working with the DD Coalition and DDA to study and consider advocacy strategies for obtaining more funding for the waiting list.  </w:t>
      </w:r>
    </w:p>
    <w:p w14:paraId="225DA1FB" w14:textId="77777777" w:rsidR="009F041C" w:rsidRPr="009F041C" w:rsidRDefault="009F041C" w:rsidP="009F041C">
      <w:pPr>
        <w:rPr>
          <w:rFonts w:ascii="Helvetica" w:hAnsi="Helvetica"/>
        </w:rPr>
      </w:pPr>
    </w:p>
    <w:p w14:paraId="7D1BE2F0" w14:textId="77777777" w:rsidR="009F041C" w:rsidRPr="009F041C" w:rsidRDefault="009F041C" w:rsidP="009F041C">
      <w:pPr>
        <w:rPr>
          <w:rFonts w:ascii="Helvetica" w:hAnsi="Helvetica"/>
          <w:b/>
        </w:rPr>
      </w:pPr>
      <w:r w:rsidRPr="009F041C">
        <w:rPr>
          <w:rFonts w:ascii="Helvetica" w:hAnsi="Helvetica"/>
          <w:b/>
        </w:rPr>
        <w:t>Institutions</w:t>
      </w:r>
    </w:p>
    <w:p w14:paraId="31DDF957" w14:textId="77777777" w:rsidR="009F041C" w:rsidRPr="009F041C" w:rsidRDefault="009F041C" w:rsidP="009F041C">
      <w:pPr>
        <w:rPr>
          <w:rFonts w:ascii="Helvetica" w:hAnsi="Helvetica"/>
        </w:rPr>
      </w:pPr>
      <w:r w:rsidRPr="009F041C">
        <w:rPr>
          <w:rFonts w:ascii="Helvetica" w:hAnsi="Helvetica"/>
        </w:rPr>
        <w:t>Because of our experience and the lack of alternative representation, DRM will continue to prioritize representation of individuals with DD who become inappropriately “stuck” in institutions and, with DRM’s nursing facility project, to attempt to resolve the systems issues that prevent people from leaving with home and community based services.</w:t>
      </w:r>
    </w:p>
    <w:p w14:paraId="175E013B" w14:textId="77777777" w:rsidR="009F041C" w:rsidRPr="009F041C" w:rsidRDefault="009F041C" w:rsidP="009F041C">
      <w:pPr>
        <w:rPr>
          <w:rFonts w:ascii="Helvetica" w:hAnsi="Helvetica"/>
        </w:rPr>
      </w:pPr>
    </w:p>
    <w:p w14:paraId="0C61F540" w14:textId="77777777" w:rsidR="009F041C" w:rsidRPr="009F041C" w:rsidRDefault="009F041C" w:rsidP="009F041C">
      <w:pPr>
        <w:rPr>
          <w:rFonts w:ascii="Helvetica" w:hAnsi="Helvetica"/>
          <w:b/>
        </w:rPr>
      </w:pPr>
      <w:r w:rsidRPr="009F041C">
        <w:rPr>
          <w:rFonts w:ascii="Helvetica" w:hAnsi="Helvetica"/>
          <w:b/>
        </w:rPr>
        <w:t>Abuse and Neglect</w:t>
      </w:r>
    </w:p>
    <w:p w14:paraId="250A504C" w14:textId="77777777" w:rsidR="009F041C" w:rsidRPr="009F041C" w:rsidRDefault="009F041C" w:rsidP="009F041C">
      <w:pPr>
        <w:rPr>
          <w:rFonts w:ascii="Helvetica" w:hAnsi="Helvetica"/>
        </w:rPr>
      </w:pPr>
      <w:r w:rsidRPr="009F041C">
        <w:rPr>
          <w:rFonts w:ascii="Helvetica" w:hAnsi="Helvetica"/>
        </w:rPr>
        <w:t xml:space="preserve">DRM is the primary non-state entity with adequate information and access to be an effective advocate for individuals and for systemic reform. Therefore, DRM will continue to advocate for improvements in the state quality system, and represent individual clients who are victims of abuse and neglect. </w:t>
      </w:r>
    </w:p>
    <w:p w14:paraId="17B7485B" w14:textId="77777777" w:rsidR="009F041C" w:rsidRPr="009F041C" w:rsidRDefault="009F041C" w:rsidP="009F041C">
      <w:pPr>
        <w:rPr>
          <w:rFonts w:ascii="Helvetica" w:hAnsi="Helvetica"/>
        </w:rPr>
      </w:pPr>
    </w:p>
    <w:p w14:paraId="6D5F8F3E" w14:textId="77777777" w:rsidR="009F041C" w:rsidRPr="009F041C" w:rsidRDefault="009F041C" w:rsidP="009F041C">
      <w:pPr>
        <w:rPr>
          <w:rFonts w:ascii="Helvetica" w:hAnsi="Helvetica"/>
          <w:b/>
        </w:rPr>
      </w:pPr>
      <w:r w:rsidRPr="009F041C">
        <w:rPr>
          <w:rFonts w:ascii="Helvetica" w:hAnsi="Helvetica"/>
          <w:b/>
        </w:rPr>
        <w:t>Children:  Education and Inclusive Child Care</w:t>
      </w:r>
    </w:p>
    <w:p w14:paraId="0607229B" w14:textId="77777777" w:rsidR="009F041C" w:rsidRPr="009F041C" w:rsidRDefault="009F041C" w:rsidP="009F041C">
      <w:pPr>
        <w:rPr>
          <w:rFonts w:ascii="Helvetica" w:hAnsi="Helvetica"/>
        </w:rPr>
      </w:pPr>
      <w:r w:rsidRPr="009F041C">
        <w:rPr>
          <w:rFonts w:ascii="Helvetica" w:hAnsi="Helvetica"/>
        </w:rPr>
        <w:t xml:space="preserve">DRM also continues to receive far more requests for assistance for children in special education, infants and </w:t>
      </w:r>
      <w:proofErr w:type="gramStart"/>
      <w:r w:rsidRPr="009F041C">
        <w:rPr>
          <w:rFonts w:ascii="Helvetica" w:hAnsi="Helvetica"/>
        </w:rPr>
        <w:t>toddlers</w:t>
      </w:r>
      <w:proofErr w:type="gramEnd"/>
      <w:r w:rsidRPr="009F041C">
        <w:rPr>
          <w:rFonts w:ascii="Helvetica" w:hAnsi="Helvetica"/>
        </w:rPr>
        <w:t xml:space="preserve"> services, health care, and child care than we can provide. Because we lack adequate staffing to provide individual representation except in targeted projects, we will primarily focus our efforts for children on systemic reform.</w:t>
      </w:r>
    </w:p>
    <w:p w14:paraId="2A4D795D" w14:textId="77777777" w:rsidR="009F041C" w:rsidRPr="009F041C" w:rsidRDefault="009F041C" w:rsidP="009F041C">
      <w:pPr>
        <w:rPr>
          <w:rFonts w:ascii="Helvetica" w:hAnsi="Helvetica"/>
          <w:b/>
        </w:rPr>
      </w:pPr>
      <w:bookmarkStart w:id="0" w:name="_GoBack"/>
      <w:bookmarkEnd w:id="0"/>
    </w:p>
    <w:p w14:paraId="7935C0B8" w14:textId="77777777" w:rsidR="009F041C" w:rsidRPr="009F041C" w:rsidRDefault="009F041C" w:rsidP="009F041C">
      <w:pPr>
        <w:rPr>
          <w:rFonts w:ascii="Helvetica" w:hAnsi="Helvetica"/>
          <w:b/>
        </w:rPr>
      </w:pPr>
      <w:r w:rsidRPr="009F041C">
        <w:rPr>
          <w:rFonts w:ascii="Helvetica" w:hAnsi="Helvetica"/>
          <w:b/>
        </w:rPr>
        <w:t xml:space="preserve">Medical Assistance </w:t>
      </w:r>
    </w:p>
    <w:p w14:paraId="1E2F4E2E" w14:textId="77777777" w:rsidR="009F041C" w:rsidRPr="009F041C" w:rsidRDefault="009F041C" w:rsidP="009F041C">
      <w:pPr>
        <w:rPr>
          <w:rFonts w:ascii="Helvetica" w:hAnsi="Helvetica"/>
        </w:rPr>
      </w:pPr>
      <w:r w:rsidRPr="009F041C">
        <w:rPr>
          <w:rFonts w:ascii="Helvetica" w:hAnsi="Helvetica"/>
        </w:rPr>
        <w:t xml:space="preserve">Demand for DRM advocacy to help people with DD access Medicaid services such as Community First Choice continues to rise. DRM will respond to this need since we are the only legal resource for most people with DD who cannot afford or even find private representation. </w:t>
      </w:r>
    </w:p>
    <w:p w14:paraId="17D6ED97" w14:textId="77777777" w:rsidR="009F041C" w:rsidRPr="009F041C" w:rsidRDefault="009F041C" w:rsidP="009F041C">
      <w:pPr>
        <w:rPr>
          <w:rFonts w:ascii="Helvetica" w:hAnsi="Helvetica"/>
        </w:rPr>
      </w:pPr>
    </w:p>
    <w:p w14:paraId="2B657A25" w14:textId="77777777" w:rsidR="009F041C" w:rsidRPr="009F041C" w:rsidRDefault="009F041C" w:rsidP="009F041C">
      <w:pPr>
        <w:rPr>
          <w:rFonts w:ascii="Helvetica" w:hAnsi="Helvetica"/>
          <w:b/>
        </w:rPr>
      </w:pPr>
      <w:r w:rsidRPr="009F041C">
        <w:rPr>
          <w:rFonts w:ascii="Helvetica" w:hAnsi="Helvetica"/>
          <w:b/>
        </w:rPr>
        <w:t>7. List of topic areas of additional priorities that would be listed but are not due to lack of resources</w:t>
      </w:r>
    </w:p>
    <w:p w14:paraId="399B58EF" w14:textId="208BADCF" w:rsidR="009F041C" w:rsidRPr="009F041C" w:rsidRDefault="009F041C" w:rsidP="009F041C">
      <w:pPr>
        <w:rPr>
          <w:rFonts w:ascii="Helvetica" w:hAnsi="Helvetica"/>
        </w:rPr>
      </w:pPr>
      <w:r w:rsidRPr="009F041C">
        <w:rPr>
          <w:rFonts w:ascii="Helvetica" w:hAnsi="Helvetica"/>
        </w:rPr>
        <w:t>People with DD need housing and transportation. While in most communities these are not legal entitlements, they are issues that continually arise in public meetings. DRM would also provide more individual representation in our selected areas if we had more resources.</w:t>
      </w:r>
      <w:r w:rsidRPr="009F041C">
        <w:rPr>
          <w:rFonts w:ascii="Helvetica" w:hAnsi="Helvetica"/>
        </w:rPr>
        <w:br/>
      </w:r>
    </w:p>
    <w:p w14:paraId="17AFA032" w14:textId="77777777" w:rsidR="009F041C" w:rsidRPr="009F041C" w:rsidRDefault="009F041C" w:rsidP="009F041C">
      <w:pPr>
        <w:rPr>
          <w:rFonts w:ascii="Helvetica" w:hAnsi="Helvetica"/>
        </w:rPr>
      </w:pPr>
      <w:r w:rsidRPr="009F041C">
        <w:rPr>
          <w:rFonts w:ascii="Helvetica" w:hAnsi="Helvetica"/>
        </w:rPr>
        <w:t xml:space="preserve">C. FY 2016 [10/01/15 - 09/30/16] Statement of Goals and Priorities (SGP) </w:t>
      </w:r>
    </w:p>
    <w:p w14:paraId="47A149B2" w14:textId="77777777" w:rsidR="009F041C" w:rsidRPr="009F041C" w:rsidRDefault="009F041C" w:rsidP="009F041C">
      <w:pPr>
        <w:rPr>
          <w:rFonts w:ascii="Helvetica" w:hAnsi="Helvetica"/>
        </w:rPr>
      </w:pPr>
    </w:p>
    <w:p w14:paraId="11951FF6"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There are no changes to the SGP from prior year  </w:t>
      </w:r>
    </w:p>
    <w:p w14:paraId="20F7E23B" w14:textId="77777777" w:rsidR="009F041C" w:rsidRPr="009F041C" w:rsidRDefault="009F041C" w:rsidP="009F041C">
      <w:pPr>
        <w:rPr>
          <w:rFonts w:ascii="Helvetica" w:hAnsi="Helvetica"/>
        </w:rPr>
      </w:pPr>
      <w:r w:rsidRPr="009F041C">
        <w:rPr>
          <w:rFonts w:ascii="Helvetica" w:hAnsi="Helvetica"/>
        </w:rPr>
        <w:sym w:font="Wingdings" w:char="F071"/>
      </w:r>
      <w:r w:rsidRPr="009F041C">
        <w:rPr>
          <w:rFonts w:ascii="Helvetica" w:hAnsi="Helvetica"/>
        </w:rPr>
        <w:t xml:space="preserve">There are changes to the SGP </w:t>
      </w:r>
    </w:p>
    <w:p w14:paraId="60AEBE4F" w14:textId="77777777" w:rsidR="009F041C" w:rsidRPr="009F041C" w:rsidRDefault="009F041C" w:rsidP="009F041C">
      <w:pPr>
        <w:rPr>
          <w:rFonts w:ascii="Helvetica" w:hAnsi="Helvetica"/>
        </w:rPr>
      </w:pPr>
    </w:p>
    <w:p w14:paraId="2AC7C47A" w14:textId="77777777" w:rsidR="009F041C" w:rsidRPr="009F041C" w:rsidRDefault="009F041C" w:rsidP="009F041C">
      <w:pPr>
        <w:rPr>
          <w:rFonts w:ascii="Helvetica" w:hAnsi="Helvetica"/>
        </w:rPr>
      </w:pPr>
      <w:r w:rsidRPr="009F041C">
        <w:rPr>
          <w:rFonts w:ascii="Helvetica" w:hAnsi="Helvetica"/>
        </w:rPr>
        <w:t xml:space="preserve">1. Goal Number: 1 Goal Statement: People with DD will be able to avoid or leave institutions </w:t>
      </w:r>
    </w:p>
    <w:p w14:paraId="4CC945C0" w14:textId="77777777" w:rsidR="009F041C" w:rsidRPr="009F041C" w:rsidRDefault="009F041C" w:rsidP="009F041C">
      <w:pPr>
        <w:rPr>
          <w:rFonts w:ascii="Helvetica" w:hAnsi="Helvetica"/>
        </w:rPr>
      </w:pPr>
    </w:p>
    <w:p w14:paraId="6085B0E3" w14:textId="77777777" w:rsidR="009F041C" w:rsidRPr="009F041C" w:rsidRDefault="009F041C" w:rsidP="009F041C">
      <w:pPr>
        <w:rPr>
          <w:rFonts w:ascii="Helvetica" w:hAnsi="Helvetica"/>
        </w:rPr>
      </w:pPr>
      <w:r w:rsidRPr="009F041C">
        <w:rPr>
          <w:rFonts w:ascii="Helvetica" w:hAnsi="Helvetica"/>
        </w:rPr>
        <w:t xml:space="preserve">2. Priorities: # Priority 1 Provide legal support and advocacy to assist people to leave or avoid institutions </w:t>
      </w:r>
    </w:p>
    <w:p w14:paraId="03DFE204" w14:textId="77777777" w:rsidR="009F041C" w:rsidRPr="009F041C" w:rsidRDefault="009F041C" w:rsidP="009F041C">
      <w:pPr>
        <w:rPr>
          <w:rFonts w:ascii="Helvetica" w:hAnsi="Helvetica"/>
        </w:rPr>
      </w:pPr>
    </w:p>
    <w:p w14:paraId="3EEE55FF" w14:textId="77777777" w:rsidR="009F041C" w:rsidRPr="009F041C" w:rsidRDefault="009F041C" w:rsidP="009F041C">
      <w:pPr>
        <w:rPr>
          <w:rFonts w:ascii="Helvetica" w:hAnsi="Helvetica"/>
        </w:rPr>
      </w:pPr>
      <w:r w:rsidRPr="009F041C">
        <w:rPr>
          <w:rFonts w:ascii="Helvetica" w:hAnsi="Helvetica"/>
        </w:rPr>
        <w:t xml:space="preserve">3. Strategies Used to Implement Goal and Address Priorities </w:t>
      </w:r>
    </w:p>
    <w:p w14:paraId="5865E75C"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Collaboration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71"/>
      </w:r>
      <w:r w:rsidRPr="009F041C">
        <w:rPr>
          <w:rFonts w:ascii="Helvetica" w:hAnsi="Helvetica"/>
        </w:rPr>
        <w:t xml:space="preserve"> Systemic Litigation </w:t>
      </w:r>
    </w:p>
    <w:p w14:paraId="58699873"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Rights-Based Individual Advocacy Services</w:t>
      </w:r>
      <w:r w:rsidRPr="009F041C">
        <w:rPr>
          <w:rFonts w:ascii="Helvetica" w:hAnsi="Helvetica"/>
        </w:rPr>
        <w:tab/>
      </w:r>
      <w:r w:rsidRPr="009F041C">
        <w:rPr>
          <w:rFonts w:ascii="Helvetica" w:hAnsi="Helvetica"/>
        </w:rPr>
        <w:sym w:font="Wingdings" w:char="F0FE"/>
      </w:r>
      <w:r w:rsidRPr="009F041C">
        <w:rPr>
          <w:rFonts w:ascii="Helvetica" w:hAnsi="Helvetica"/>
        </w:rPr>
        <w:t xml:space="preserve"> Educating Policy Makers </w:t>
      </w:r>
    </w:p>
    <w:p w14:paraId="660A606C" w14:textId="77777777" w:rsidR="009F041C" w:rsidRPr="009F041C" w:rsidRDefault="009F041C" w:rsidP="009F041C">
      <w:pPr>
        <w:rPr>
          <w:rFonts w:ascii="Helvetica" w:hAnsi="Helvetica"/>
        </w:rPr>
      </w:pPr>
      <w:r w:rsidRPr="009F041C">
        <w:rPr>
          <w:rFonts w:ascii="Helvetica" w:hAnsi="Helvetica"/>
        </w:rPr>
        <w:sym w:font="Wingdings" w:char="F071"/>
      </w:r>
      <w:r w:rsidRPr="009F041C">
        <w:rPr>
          <w:rFonts w:ascii="Helvetica" w:hAnsi="Helvetica"/>
        </w:rPr>
        <w:t xml:space="preserve"> Investigations of Abuse and Neglect </w:t>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Other Systemic Advocacy </w:t>
      </w:r>
    </w:p>
    <w:p w14:paraId="3721F79C"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Monitoring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Training/Outreach </w:t>
      </w:r>
    </w:p>
    <w:p w14:paraId="2D24F67D" w14:textId="77777777" w:rsidR="009F041C" w:rsidRPr="009F041C" w:rsidRDefault="009F041C" w:rsidP="009F041C">
      <w:pPr>
        <w:rPr>
          <w:rFonts w:ascii="Helvetica" w:hAnsi="Helvetica"/>
        </w:rPr>
      </w:pPr>
    </w:p>
    <w:p w14:paraId="7E10D294" w14:textId="77777777" w:rsidR="009F041C" w:rsidRPr="009F041C" w:rsidRDefault="009F041C" w:rsidP="009F041C">
      <w:pPr>
        <w:rPr>
          <w:rFonts w:ascii="Helvetica" w:hAnsi="Helvetica"/>
        </w:rPr>
      </w:pPr>
      <w:r w:rsidRPr="009F041C">
        <w:rPr>
          <w:rFonts w:ascii="Helvetica" w:hAnsi="Helvetica"/>
        </w:rPr>
        <w:t xml:space="preserve">4. Rationale for Adding/Changing Goal This is a continued goal from FY2014-2015. </w:t>
      </w:r>
    </w:p>
    <w:p w14:paraId="666B684E" w14:textId="77777777" w:rsidR="009F041C" w:rsidRPr="009F041C" w:rsidRDefault="009F041C" w:rsidP="009F041C">
      <w:pPr>
        <w:rPr>
          <w:rFonts w:ascii="Helvetica" w:hAnsi="Helvetica"/>
        </w:rPr>
      </w:pPr>
    </w:p>
    <w:p w14:paraId="418D71F2" w14:textId="77777777" w:rsidR="009F041C" w:rsidRPr="009F041C" w:rsidRDefault="009F041C" w:rsidP="009F041C">
      <w:pPr>
        <w:rPr>
          <w:rFonts w:ascii="Helvetica" w:hAnsi="Helvetica"/>
        </w:rPr>
      </w:pPr>
      <w:r w:rsidRPr="009F041C">
        <w:rPr>
          <w:rFonts w:ascii="Helvetica" w:hAnsi="Helvetica"/>
        </w:rPr>
        <w:t xml:space="preserve">5. Rationale for Adding/Changing Priorities </w:t>
      </w:r>
      <w:proofErr w:type="spellStart"/>
      <w:r w:rsidRPr="009F041C">
        <w:rPr>
          <w:rFonts w:ascii="Helvetica" w:hAnsi="Helvetica"/>
        </w:rPr>
        <w:t>Priorities</w:t>
      </w:r>
      <w:proofErr w:type="spellEnd"/>
      <w:r w:rsidRPr="009F041C">
        <w:rPr>
          <w:rFonts w:ascii="Helvetica" w:hAnsi="Helvetica"/>
        </w:rPr>
        <w:t xml:space="preserve"> </w:t>
      </w:r>
      <w:proofErr w:type="gramStart"/>
      <w:r w:rsidRPr="009F041C">
        <w:rPr>
          <w:rFonts w:ascii="Helvetica" w:hAnsi="Helvetica"/>
        </w:rPr>
        <w:t>continue</w:t>
      </w:r>
      <w:proofErr w:type="gramEnd"/>
      <w:r w:rsidRPr="009F041C">
        <w:rPr>
          <w:rFonts w:ascii="Helvetica" w:hAnsi="Helvetica"/>
        </w:rPr>
        <w:t xml:space="preserve"> from FY2014-2015. </w:t>
      </w:r>
    </w:p>
    <w:p w14:paraId="6A59232F" w14:textId="77777777" w:rsidR="009F041C" w:rsidRPr="009F041C" w:rsidRDefault="009F041C" w:rsidP="009F041C">
      <w:pPr>
        <w:pBdr>
          <w:bottom w:val="single" w:sz="12" w:space="1" w:color="auto"/>
        </w:pBdr>
        <w:rPr>
          <w:rFonts w:ascii="Helvetica" w:hAnsi="Helvetica"/>
        </w:rPr>
      </w:pPr>
    </w:p>
    <w:p w14:paraId="78A7ACD8" w14:textId="77777777" w:rsidR="009F041C" w:rsidRPr="009F041C" w:rsidRDefault="009F041C" w:rsidP="009F041C">
      <w:pPr>
        <w:rPr>
          <w:rFonts w:ascii="Helvetica" w:hAnsi="Helvetica"/>
        </w:rPr>
      </w:pPr>
    </w:p>
    <w:p w14:paraId="539ED473" w14:textId="77777777" w:rsidR="009F041C" w:rsidRPr="009F041C" w:rsidRDefault="009F041C" w:rsidP="009F041C">
      <w:pPr>
        <w:rPr>
          <w:rFonts w:ascii="Helvetica" w:hAnsi="Helvetica"/>
        </w:rPr>
      </w:pPr>
      <w:r w:rsidRPr="009F041C">
        <w:rPr>
          <w:rFonts w:ascii="Helvetica" w:hAnsi="Helvetica"/>
        </w:rPr>
        <w:t xml:space="preserve">1. Goal Number: 2 Goal Statement: Abuse, neglect and other rights violations of people in state services will be reduced. </w:t>
      </w:r>
    </w:p>
    <w:p w14:paraId="0F4934E5" w14:textId="77777777" w:rsidR="009F041C" w:rsidRPr="009F041C" w:rsidRDefault="009F041C" w:rsidP="009F041C">
      <w:pPr>
        <w:rPr>
          <w:rFonts w:ascii="Helvetica" w:hAnsi="Helvetica"/>
        </w:rPr>
      </w:pPr>
    </w:p>
    <w:p w14:paraId="067EE500" w14:textId="77777777" w:rsidR="009F041C" w:rsidRPr="009F041C" w:rsidRDefault="009F041C" w:rsidP="009F041C">
      <w:pPr>
        <w:rPr>
          <w:rFonts w:ascii="Helvetica" w:hAnsi="Helvetica"/>
        </w:rPr>
      </w:pPr>
      <w:r w:rsidRPr="009F041C">
        <w:rPr>
          <w:rFonts w:ascii="Helvetica" w:hAnsi="Helvetica"/>
        </w:rPr>
        <w:t xml:space="preserve">2. Priorities: # Priority 1 Individual/systemic advocacy on abuse, neglect or other rights violations, and service access. </w:t>
      </w:r>
    </w:p>
    <w:p w14:paraId="4D23E021" w14:textId="77777777" w:rsidR="009F041C" w:rsidRPr="009F041C" w:rsidRDefault="009F041C" w:rsidP="009F041C">
      <w:pPr>
        <w:rPr>
          <w:rFonts w:ascii="Helvetica" w:hAnsi="Helvetica"/>
        </w:rPr>
      </w:pPr>
    </w:p>
    <w:p w14:paraId="745A357D" w14:textId="77777777" w:rsidR="009F041C" w:rsidRPr="009F041C" w:rsidRDefault="009F041C" w:rsidP="009F041C">
      <w:pPr>
        <w:rPr>
          <w:rFonts w:ascii="Helvetica" w:hAnsi="Helvetica"/>
        </w:rPr>
      </w:pPr>
      <w:r w:rsidRPr="009F041C">
        <w:rPr>
          <w:rFonts w:ascii="Helvetica" w:hAnsi="Helvetica"/>
        </w:rPr>
        <w:t xml:space="preserve">3. Strategies Used to Implement Goal and Address Priorities </w:t>
      </w:r>
    </w:p>
    <w:p w14:paraId="43C30501"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Collaboration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71"/>
      </w:r>
      <w:r w:rsidRPr="009F041C">
        <w:rPr>
          <w:rFonts w:ascii="Helvetica" w:hAnsi="Helvetica"/>
        </w:rPr>
        <w:t xml:space="preserve"> Systemic Litigation </w:t>
      </w:r>
    </w:p>
    <w:p w14:paraId="2BA3D64D"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Rights-Based Individual Advocacy Services</w:t>
      </w:r>
      <w:r w:rsidRPr="009F041C">
        <w:rPr>
          <w:rFonts w:ascii="Helvetica" w:hAnsi="Helvetica"/>
        </w:rPr>
        <w:tab/>
      </w:r>
      <w:r w:rsidRPr="009F041C">
        <w:rPr>
          <w:rFonts w:ascii="Helvetica" w:hAnsi="Helvetica"/>
        </w:rPr>
        <w:sym w:font="Wingdings" w:char="F0FE"/>
      </w:r>
      <w:r w:rsidRPr="009F041C">
        <w:rPr>
          <w:rFonts w:ascii="Helvetica" w:hAnsi="Helvetica"/>
        </w:rPr>
        <w:t xml:space="preserve"> Educating Policy Makers </w:t>
      </w:r>
    </w:p>
    <w:p w14:paraId="476100C5"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Investigations of Abuse and Neglect </w:t>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Other Systemic Advocacy </w:t>
      </w:r>
    </w:p>
    <w:p w14:paraId="6F675344"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Monitoring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Training/Outreach </w:t>
      </w:r>
    </w:p>
    <w:p w14:paraId="69F23F67" w14:textId="77777777" w:rsidR="009F041C" w:rsidRPr="009F041C" w:rsidRDefault="009F041C" w:rsidP="009F041C">
      <w:pPr>
        <w:rPr>
          <w:rFonts w:ascii="Helvetica" w:hAnsi="Helvetica"/>
        </w:rPr>
      </w:pPr>
    </w:p>
    <w:p w14:paraId="0D773B3F" w14:textId="77777777" w:rsidR="009F041C" w:rsidRPr="009F041C" w:rsidRDefault="009F041C" w:rsidP="009F041C">
      <w:pPr>
        <w:rPr>
          <w:rFonts w:ascii="Helvetica" w:hAnsi="Helvetica"/>
        </w:rPr>
      </w:pPr>
      <w:r w:rsidRPr="009F041C">
        <w:rPr>
          <w:rFonts w:ascii="Helvetica" w:hAnsi="Helvetica"/>
        </w:rPr>
        <w:t xml:space="preserve">4. Rationale for Adding/Changing Goal This goal is continued from 2014-2015. </w:t>
      </w:r>
    </w:p>
    <w:p w14:paraId="322897C9" w14:textId="77777777" w:rsidR="009F041C" w:rsidRPr="009F041C" w:rsidRDefault="009F041C" w:rsidP="009F041C">
      <w:pPr>
        <w:rPr>
          <w:rFonts w:ascii="Helvetica" w:hAnsi="Helvetica"/>
        </w:rPr>
      </w:pPr>
    </w:p>
    <w:p w14:paraId="5A53C0D3" w14:textId="77777777" w:rsidR="009F041C" w:rsidRPr="009F041C" w:rsidRDefault="009F041C" w:rsidP="009F041C">
      <w:pPr>
        <w:rPr>
          <w:rFonts w:ascii="Helvetica" w:hAnsi="Helvetica"/>
        </w:rPr>
      </w:pPr>
      <w:r w:rsidRPr="009F041C">
        <w:rPr>
          <w:rFonts w:ascii="Helvetica" w:hAnsi="Helvetica"/>
        </w:rPr>
        <w:t xml:space="preserve">5. Rationale for Adding/Changing Priorities </w:t>
      </w:r>
      <w:proofErr w:type="spellStart"/>
      <w:r w:rsidRPr="009F041C">
        <w:rPr>
          <w:rFonts w:ascii="Helvetica" w:hAnsi="Helvetica"/>
        </w:rPr>
        <w:t>Priorities</w:t>
      </w:r>
      <w:proofErr w:type="spellEnd"/>
      <w:r w:rsidRPr="009F041C">
        <w:rPr>
          <w:rFonts w:ascii="Helvetica" w:hAnsi="Helvetica"/>
        </w:rPr>
        <w:t xml:space="preserve"> continue from 2014-2015 </w:t>
      </w:r>
    </w:p>
    <w:p w14:paraId="5A195171" w14:textId="77777777" w:rsidR="009F041C" w:rsidRPr="009F041C" w:rsidRDefault="009F041C" w:rsidP="009F041C">
      <w:pPr>
        <w:pBdr>
          <w:bottom w:val="single" w:sz="12" w:space="1" w:color="auto"/>
        </w:pBdr>
        <w:rPr>
          <w:rFonts w:ascii="Helvetica" w:hAnsi="Helvetica"/>
        </w:rPr>
      </w:pPr>
    </w:p>
    <w:p w14:paraId="18564062" w14:textId="77777777" w:rsidR="009F041C" w:rsidRPr="009F041C" w:rsidRDefault="009F041C" w:rsidP="009F041C">
      <w:pPr>
        <w:rPr>
          <w:rFonts w:ascii="Helvetica" w:hAnsi="Helvetica"/>
        </w:rPr>
      </w:pPr>
    </w:p>
    <w:p w14:paraId="3FF0AB65" w14:textId="77777777" w:rsidR="009F041C" w:rsidRPr="009F041C" w:rsidRDefault="009F041C" w:rsidP="009F041C">
      <w:pPr>
        <w:rPr>
          <w:rFonts w:ascii="Helvetica" w:hAnsi="Helvetica"/>
        </w:rPr>
      </w:pPr>
      <w:r w:rsidRPr="009F041C">
        <w:rPr>
          <w:rFonts w:ascii="Helvetica" w:hAnsi="Helvetica"/>
        </w:rPr>
        <w:t xml:space="preserve">1. Goal Number: 3 Goal Statement: People with DD will have access to Medicaid services they need to live in the community. </w:t>
      </w:r>
    </w:p>
    <w:p w14:paraId="0EEC1996" w14:textId="77777777" w:rsidR="009F041C" w:rsidRPr="009F041C" w:rsidRDefault="009F041C" w:rsidP="009F041C">
      <w:pPr>
        <w:rPr>
          <w:rFonts w:ascii="Helvetica" w:hAnsi="Helvetica"/>
        </w:rPr>
      </w:pPr>
    </w:p>
    <w:p w14:paraId="129E4572" w14:textId="77777777" w:rsidR="009F041C" w:rsidRPr="009F041C" w:rsidRDefault="009F041C" w:rsidP="009F041C">
      <w:pPr>
        <w:rPr>
          <w:rFonts w:ascii="Helvetica" w:hAnsi="Helvetica"/>
        </w:rPr>
      </w:pPr>
      <w:r w:rsidRPr="009F041C">
        <w:rPr>
          <w:rFonts w:ascii="Helvetica" w:hAnsi="Helvetica"/>
        </w:rPr>
        <w:t>2. Priorities: # Priority 1 Help individuals with DD to understand and acquire needed Medicaid services</w:t>
      </w:r>
    </w:p>
    <w:p w14:paraId="5CDAD17F" w14:textId="77777777" w:rsidR="009F041C" w:rsidRPr="009F041C" w:rsidRDefault="009F041C" w:rsidP="009F041C">
      <w:pPr>
        <w:rPr>
          <w:rFonts w:ascii="Helvetica" w:hAnsi="Helvetica"/>
        </w:rPr>
      </w:pPr>
    </w:p>
    <w:p w14:paraId="51A3DFFC" w14:textId="77777777" w:rsidR="009F041C" w:rsidRPr="009F041C" w:rsidRDefault="009F041C" w:rsidP="009F041C">
      <w:pPr>
        <w:rPr>
          <w:rFonts w:ascii="Helvetica" w:hAnsi="Helvetica"/>
        </w:rPr>
      </w:pPr>
      <w:r w:rsidRPr="009F041C">
        <w:rPr>
          <w:rFonts w:ascii="Helvetica" w:hAnsi="Helvetica"/>
        </w:rPr>
        <w:t xml:space="preserve">3. Strategies Used to Implement Goal and Address Priorities </w:t>
      </w:r>
    </w:p>
    <w:p w14:paraId="16D4A123"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Collaboration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71"/>
      </w:r>
      <w:r w:rsidRPr="009F041C">
        <w:rPr>
          <w:rFonts w:ascii="Helvetica" w:hAnsi="Helvetica"/>
        </w:rPr>
        <w:t xml:space="preserve"> Systemic Litigation </w:t>
      </w:r>
    </w:p>
    <w:p w14:paraId="76368657"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Rights-Based Individual Advocacy Services</w:t>
      </w:r>
      <w:r w:rsidRPr="009F041C">
        <w:rPr>
          <w:rFonts w:ascii="Helvetica" w:hAnsi="Helvetica"/>
        </w:rPr>
        <w:tab/>
      </w:r>
      <w:r w:rsidRPr="009F041C">
        <w:rPr>
          <w:rFonts w:ascii="Helvetica" w:hAnsi="Helvetica"/>
        </w:rPr>
        <w:sym w:font="Wingdings" w:char="F0FE"/>
      </w:r>
      <w:r w:rsidRPr="009F041C">
        <w:rPr>
          <w:rFonts w:ascii="Helvetica" w:hAnsi="Helvetica"/>
        </w:rPr>
        <w:t xml:space="preserve"> Educating Policy Makers </w:t>
      </w:r>
    </w:p>
    <w:p w14:paraId="24CCB483" w14:textId="77777777" w:rsidR="009F041C" w:rsidRPr="009F041C" w:rsidRDefault="009F041C" w:rsidP="009F041C">
      <w:pPr>
        <w:rPr>
          <w:rFonts w:ascii="Helvetica" w:hAnsi="Helvetica"/>
        </w:rPr>
      </w:pPr>
      <w:r w:rsidRPr="009F041C">
        <w:rPr>
          <w:rFonts w:ascii="Helvetica" w:hAnsi="Helvetica"/>
        </w:rPr>
        <w:sym w:font="Wingdings" w:char="F071"/>
      </w:r>
      <w:r w:rsidRPr="009F041C">
        <w:rPr>
          <w:rFonts w:ascii="Helvetica" w:hAnsi="Helvetica"/>
        </w:rPr>
        <w:t xml:space="preserve"> Investigations of Abuse and Neglect </w:t>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Other Systemic Advocacy </w:t>
      </w:r>
    </w:p>
    <w:p w14:paraId="5C35D7A3" w14:textId="77777777" w:rsidR="009F041C" w:rsidRPr="009F041C" w:rsidRDefault="009F041C" w:rsidP="009F041C">
      <w:pPr>
        <w:rPr>
          <w:rFonts w:ascii="Helvetica" w:hAnsi="Helvetica"/>
        </w:rPr>
      </w:pPr>
      <w:r w:rsidRPr="009F041C">
        <w:rPr>
          <w:rFonts w:ascii="Helvetica" w:hAnsi="Helvetica"/>
        </w:rPr>
        <w:sym w:font="Wingdings" w:char="F071"/>
      </w:r>
      <w:r w:rsidRPr="009F041C">
        <w:rPr>
          <w:rFonts w:ascii="Helvetica" w:hAnsi="Helvetica"/>
        </w:rPr>
        <w:t xml:space="preserve"> Monitoring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Training/Outreach </w:t>
      </w:r>
    </w:p>
    <w:p w14:paraId="189E5E16" w14:textId="77777777" w:rsidR="009F041C" w:rsidRPr="009F041C" w:rsidRDefault="009F041C" w:rsidP="009F041C">
      <w:pPr>
        <w:rPr>
          <w:rFonts w:ascii="Helvetica" w:hAnsi="Helvetica"/>
        </w:rPr>
      </w:pPr>
    </w:p>
    <w:p w14:paraId="0E8C2B9E" w14:textId="77777777" w:rsidR="009F041C" w:rsidRPr="009F041C" w:rsidRDefault="009F041C" w:rsidP="009F041C">
      <w:pPr>
        <w:rPr>
          <w:rFonts w:ascii="Helvetica" w:hAnsi="Helvetica"/>
        </w:rPr>
      </w:pPr>
      <w:r w:rsidRPr="009F041C">
        <w:rPr>
          <w:rFonts w:ascii="Helvetica" w:hAnsi="Helvetica"/>
        </w:rPr>
        <w:t xml:space="preserve">4. Rationale for Adding/Changing Goal </w:t>
      </w:r>
      <w:proofErr w:type="spellStart"/>
      <w:r w:rsidRPr="009F041C">
        <w:rPr>
          <w:rFonts w:ascii="Helvetica" w:hAnsi="Helvetica"/>
        </w:rPr>
        <w:t>Goal</w:t>
      </w:r>
      <w:proofErr w:type="spellEnd"/>
      <w:r w:rsidRPr="009F041C">
        <w:rPr>
          <w:rFonts w:ascii="Helvetica" w:hAnsi="Helvetica"/>
        </w:rPr>
        <w:t xml:space="preserve"> continues from FY 2014-2015 </w:t>
      </w:r>
    </w:p>
    <w:p w14:paraId="3271F3A9" w14:textId="77777777" w:rsidR="009F041C" w:rsidRPr="009F041C" w:rsidRDefault="009F041C" w:rsidP="009F041C">
      <w:pPr>
        <w:rPr>
          <w:rFonts w:ascii="Helvetica" w:hAnsi="Helvetica"/>
        </w:rPr>
      </w:pPr>
    </w:p>
    <w:p w14:paraId="589D7B20" w14:textId="77777777" w:rsidR="009F041C" w:rsidRPr="009F041C" w:rsidRDefault="009F041C" w:rsidP="009F041C">
      <w:pPr>
        <w:rPr>
          <w:rFonts w:ascii="Helvetica" w:hAnsi="Helvetica"/>
        </w:rPr>
      </w:pPr>
      <w:r w:rsidRPr="009F041C">
        <w:rPr>
          <w:rFonts w:ascii="Helvetica" w:hAnsi="Helvetica"/>
        </w:rPr>
        <w:t xml:space="preserve">5. Rationale for Adding/Changing Priorities Priority remains from FY 2014-2015 </w:t>
      </w:r>
    </w:p>
    <w:p w14:paraId="2C896792" w14:textId="77777777" w:rsidR="009F041C" w:rsidRPr="009F041C" w:rsidRDefault="009F041C" w:rsidP="009F041C">
      <w:pPr>
        <w:pBdr>
          <w:bottom w:val="single" w:sz="12" w:space="1" w:color="auto"/>
        </w:pBdr>
        <w:rPr>
          <w:rFonts w:ascii="Helvetica" w:hAnsi="Helvetica"/>
        </w:rPr>
      </w:pPr>
    </w:p>
    <w:p w14:paraId="2E5729ED" w14:textId="77777777" w:rsidR="009F041C" w:rsidRPr="009F041C" w:rsidRDefault="009F041C" w:rsidP="009F041C">
      <w:pPr>
        <w:rPr>
          <w:rFonts w:ascii="Helvetica" w:hAnsi="Helvetica"/>
        </w:rPr>
      </w:pPr>
    </w:p>
    <w:p w14:paraId="60F0336D" w14:textId="77777777" w:rsidR="009F041C" w:rsidRPr="009F041C" w:rsidRDefault="009F041C" w:rsidP="009F041C">
      <w:pPr>
        <w:rPr>
          <w:rFonts w:ascii="Helvetica" w:hAnsi="Helvetica"/>
        </w:rPr>
      </w:pPr>
      <w:r w:rsidRPr="009F041C">
        <w:rPr>
          <w:rFonts w:ascii="Helvetica" w:hAnsi="Helvetica"/>
        </w:rPr>
        <w:t xml:space="preserve">1. Goal Number: 4 Goal Statement: Children with DD will be in integrated, appropriate school and day care settings. </w:t>
      </w:r>
    </w:p>
    <w:p w14:paraId="79F1BDA0" w14:textId="77777777" w:rsidR="009F041C" w:rsidRPr="009F041C" w:rsidRDefault="009F041C" w:rsidP="009F041C">
      <w:pPr>
        <w:rPr>
          <w:rFonts w:ascii="Helvetica" w:hAnsi="Helvetica"/>
        </w:rPr>
      </w:pPr>
    </w:p>
    <w:p w14:paraId="4A04ABF2" w14:textId="77777777" w:rsidR="009F041C" w:rsidRPr="009F041C" w:rsidRDefault="009F041C" w:rsidP="009F041C">
      <w:pPr>
        <w:rPr>
          <w:rFonts w:ascii="Helvetica" w:hAnsi="Helvetica"/>
        </w:rPr>
      </w:pPr>
      <w:r w:rsidRPr="009F041C">
        <w:rPr>
          <w:rFonts w:ascii="Helvetica" w:hAnsi="Helvetica"/>
        </w:rPr>
        <w:t xml:space="preserve">2. Priorities: # Priority 1 Advocate to advance the rights of children with developmental disabilities to receive services in the most inclusive setting. </w:t>
      </w:r>
    </w:p>
    <w:p w14:paraId="30453077" w14:textId="77777777" w:rsidR="009F041C" w:rsidRPr="009F041C" w:rsidRDefault="009F041C" w:rsidP="009F041C">
      <w:pPr>
        <w:rPr>
          <w:rFonts w:ascii="Helvetica" w:hAnsi="Helvetica"/>
        </w:rPr>
      </w:pPr>
    </w:p>
    <w:p w14:paraId="69611EFE" w14:textId="77777777" w:rsidR="009F041C" w:rsidRPr="009F041C" w:rsidRDefault="009F041C" w:rsidP="009F041C">
      <w:pPr>
        <w:rPr>
          <w:rFonts w:ascii="Helvetica" w:hAnsi="Helvetica"/>
        </w:rPr>
      </w:pPr>
      <w:r w:rsidRPr="009F041C">
        <w:rPr>
          <w:rFonts w:ascii="Helvetica" w:hAnsi="Helvetica"/>
        </w:rPr>
        <w:t>3. Strategies Used to Implement Goal and Address Priorities</w:t>
      </w:r>
    </w:p>
    <w:p w14:paraId="4DEEE757" w14:textId="77777777" w:rsidR="009F041C" w:rsidRPr="009F041C" w:rsidRDefault="009F041C" w:rsidP="009F041C">
      <w:pPr>
        <w:rPr>
          <w:rFonts w:ascii="Helvetica" w:hAnsi="Helvetica"/>
        </w:rPr>
      </w:pPr>
    </w:p>
    <w:p w14:paraId="612DD21D"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Collaboration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71"/>
      </w:r>
      <w:r w:rsidRPr="009F041C">
        <w:rPr>
          <w:rFonts w:ascii="Helvetica" w:hAnsi="Helvetica"/>
        </w:rPr>
        <w:t xml:space="preserve"> Systemic Litigation </w:t>
      </w:r>
    </w:p>
    <w:p w14:paraId="35E296C0"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Rights-Based Individual Advocacy Services</w:t>
      </w:r>
      <w:r w:rsidRPr="009F041C">
        <w:rPr>
          <w:rFonts w:ascii="Helvetica" w:hAnsi="Helvetica"/>
        </w:rPr>
        <w:tab/>
      </w:r>
      <w:r w:rsidRPr="009F041C">
        <w:rPr>
          <w:rFonts w:ascii="Helvetica" w:hAnsi="Helvetica"/>
        </w:rPr>
        <w:sym w:font="Wingdings" w:char="F0FE"/>
      </w:r>
      <w:r w:rsidRPr="009F041C">
        <w:rPr>
          <w:rFonts w:ascii="Helvetica" w:hAnsi="Helvetica"/>
        </w:rPr>
        <w:t xml:space="preserve"> Educating Policy Makers </w:t>
      </w:r>
    </w:p>
    <w:p w14:paraId="50BE1306"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Investigations of Abuse and Neglect </w:t>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Other Systemic Advocacy </w:t>
      </w:r>
    </w:p>
    <w:p w14:paraId="26ECADC4" w14:textId="77777777" w:rsidR="009F041C" w:rsidRPr="009F041C" w:rsidRDefault="009F041C" w:rsidP="009F041C">
      <w:pPr>
        <w:rPr>
          <w:rFonts w:ascii="Helvetica" w:hAnsi="Helvetica"/>
        </w:rPr>
      </w:pPr>
      <w:r w:rsidRPr="009F041C">
        <w:rPr>
          <w:rFonts w:ascii="Helvetica" w:hAnsi="Helvetica"/>
        </w:rPr>
        <w:sym w:font="Wingdings" w:char="F0FE"/>
      </w:r>
      <w:r w:rsidRPr="009F041C">
        <w:rPr>
          <w:rFonts w:ascii="Helvetica" w:hAnsi="Helvetica"/>
        </w:rPr>
        <w:t xml:space="preserve"> Monitoring </w:t>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tab/>
      </w:r>
      <w:r w:rsidRPr="009F041C">
        <w:rPr>
          <w:rFonts w:ascii="Helvetica" w:hAnsi="Helvetica"/>
        </w:rPr>
        <w:sym w:font="Wingdings" w:char="F0FE"/>
      </w:r>
      <w:r w:rsidRPr="009F041C">
        <w:rPr>
          <w:rFonts w:ascii="Helvetica" w:hAnsi="Helvetica"/>
        </w:rPr>
        <w:t xml:space="preserve"> Training/Outreach </w:t>
      </w:r>
    </w:p>
    <w:p w14:paraId="60D2F0D9" w14:textId="77777777" w:rsidR="009F041C" w:rsidRPr="009F041C" w:rsidRDefault="009F041C" w:rsidP="009F041C">
      <w:pPr>
        <w:rPr>
          <w:rFonts w:ascii="Helvetica" w:hAnsi="Helvetica"/>
        </w:rPr>
      </w:pPr>
    </w:p>
    <w:p w14:paraId="176E9AF6" w14:textId="77777777" w:rsidR="009F041C" w:rsidRPr="009F041C" w:rsidRDefault="009F041C" w:rsidP="009F041C">
      <w:pPr>
        <w:rPr>
          <w:rFonts w:ascii="Helvetica" w:hAnsi="Helvetica"/>
        </w:rPr>
      </w:pPr>
      <w:r w:rsidRPr="009F041C">
        <w:rPr>
          <w:rFonts w:ascii="Helvetica" w:hAnsi="Helvetica"/>
        </w:rPr>
        <w:t xml:space="preserve">4. Rationale for Adding/Changing Goal </w:t>
      </w:r>
      <w:proofErr w:type="spellStart"/>
      <w:r w:rsidRPr="009F041C">
        <w:rPr>
          <w:rFonts w:ascii="Helvetica" w:hAnsi="Helvetica"/>
        </w:rPr>
        <w:t>Goal</w:t>
      </w:r>
      <w:proofErr w:type="spellEnd"/>
      <w:r w:rsidRPr="009F041C">
        <w:rPr>
          <w:rFonts w:ascii="Helvetica" w:hAnsi="Helvetica"/>
        </w:rPr>
        <w:t xml:space="preserve"> continues from FY 2014-2015 </w:t>
      </w:r>
    </w:p>
    <w:p w14:paraId="093B98F3" w14:textId="77777777" w:rsidR="009F041C" w:rsidRPr="009F041C" w:rsidRDefault="009F041C" w:rsidP="009F041C">
      <w:pPr>
        <w:rPr>
          <w:rFonts w:ascii="Helvetica" w:hAnsi="Helvetica"/>
        </w:rPr>
      </w:pPr>
    </w:p>
    <w:p w14:paraId="4E6763FD" w14:textId="77777777" w:rsidR="009F041C" w:rsidRPr="009F041C" w:rsidRDefault="009F041C" w:rsidP="009F041C">
      <w:pPr>
        <w:rPr>
          <w:rFonts w:ascii="Helvetica" w:hAnsi="Helvetica"/>
        </w:rPr>
      </w:pPr>
      <w:r w:rsidRPr="009F041C">
        <w:rPr>
          <w:rFonts w:ascii="Helvetica" w:hAnsi="Helvetica"/>
        </w:rPr>
        <w:t>5. Rationale for Adding/Changing Priorities Priority continues from FY 2014-2015</w:t>
      </w:r>
    </w:p>
    <w:p w14:paraId="6F73C636" w14:textId="77777777" w:rsidR="009F041C" w:rsidRPr="009F041C" w:rsidRDefault="009F041C" w:rsidP="009F041C">
      <w:pPr>
        <w:rPr>
          <w:rFonts w:ascii="Helvetica" w:hAnsi="Helvetica"/>
          <w:sz w:val="40"/>
          <w:szCs w:val="40"/>
        </w:rPr>
      </w:pPr>
    </w:p>
    <w:p w14:paraId="4787F5A3" w14:textId="77777777" w:rsidR="009F041C" w:rsidRPr="009F041C" w:rsidRDefault="009F041C" w:rsidP="009F041C">
      <w:pPr>
        <w:rPr>
          <w:rFonts w:ascii="Helvetica" w:hAnsi="Helvetica"/>
          <w:b/>
        </w:rPr>
      </w:pPr>
      <w:r w:rsidRPr="009F041C">
        <w:rPr>
          <w:rFonts w:ascii="Helvetica" w:hAnsi="Helvetica"/>
          <w:b/>
        </w:rPr>
        <w:t>D. Description of P&amp;A Operations 1. Provide a description of how the P&amp;A operates. Include information on how the P&amp;A coordinates the PADD program with other Protection and Advocacy programs administered by the State Protection and Advocacy System. This description must include the System’s processes for intake, internal and external referrals, and streamlining of advocacy services.</w:t>
      </w:r>
    </w:p>
    <w:p w14:paraId="45E736F8" w14:textId="77777777" w:rsidR="009F041C" w:rsidRPr="009F041C" w:rsidRDefault="009F041C" w:rsidP="009F041C">
      <w:pPr>
        <w:rPr>
          <w:rFonts w:ascii="Helvetica" w:hAnsi="Helvetica"/>
          <w:b/>
        </w:rPr>
      </w:pPr>
    </w:p>
    <w:p w14:paraId="5234B03E" w14:textId="77777777" w:rsidR="009F041C" w:rsidRPr="009F041C" w:rsidRDefault="009F041C" w:rsidP="009F041C">
      <w:pPr>
        <w:rPr>
          <w:rFonts w:ascii="Helvetica" w:hAnsi="Helvetica"/>
        </w:rPr>
      </w:pPr>
      <w:r w:rsidRPr="009F041C">
        <w:rPr>
          <w:rFonts w:ascii="Helvetica" w:hAnsi="Helvetica"/>
        </w:rPr>
        <w:t xml:space="preserve">DRM has two intake staff, one for general intake and one for special education cases. The intake staff for special education designates PADD cases, however, the special education unit staff handle all education cases regardless of the child’s disability. Most special education callers are provided with information and referral. DRM trains pro bono attorneys to represent children in special education cases. The DD unit at DRM works closely with the Medicaid unit. Many of the Medicaid unit clients, as well as the clients served by staff under the PAAT grant, have DD. Both units are </w:t>
      </w:r>
      <w:proofErr w:type="gramStart"/>
      <w:r w:rsidRPr="009F041C">
        <w:rPr>
          <w:rFonts w:ascii="Helvetica" w:hAnsi="Helvetica"/>
        </w:rPr>
        <w:t>cross trained</w:t>
      </w:r>
      <w:proofErr w:type="gramEnd"/>
      <w:r w:rsidRPr="009F041C">
        <w:rPr>
          <w:rFonts w:ascii="Helvetica" w:hAnsi="Helvetica"/>
        </w:rPr>
        <w:t xml:space="preserve"> to represent clients who need technical assistance or representation in Medicaid waiver service cases, although the DD unit specializes in eligibility matters. The DD unit collaborates with our CAP through the NDRN Board of Directors. DRM and the CAP trade referrals and occasionally meet to share information. DRM refers issues to the Long Term Care Ombudsman, including the conditions within a facility, rights issues, and concerns about quality of care. The Ombudsman also refers cases to DRM.</w:t>
      </w:r>
    </w:p>
    <w:p w14:paraId="4A5A26CB" w14:textId="77777777" w:rsidR="009F041C" w:rsidRPr="009F041C" w:rsidRDefault="009F041C" w:rsidP="009F041C">
      <w:pPr>
        <w:rPr>
          <w:rFonts w:ascii="Helvetica" w:hAnsi="Helvetica"/>
        </w:rPr>
      </w:pPr>
    </w:p>
    <w:p w14:paraId="7F8F25A4" w14:textId="77777777" w:rsidR="009F041C" w:rsidRPr="009F041C" w:rsidRDefault="009F041C" w:rsidP="009F041C">
      <w:pPr>
        <w:rPr>
          <w:rFonts w:ascii="Helvetica" w:hAnsi="Helvetica"/>
        </w:rPr>
      </w:pPr>
      <w:r w:rsidRPr="009F041C">
        <w:rPr>
          <w:rFonts w:ascii="Helvetica" w:hAnsi="Helvetica"/>
          <w:b/>
        </w:rPr>
        <w:t>2. Will the System will be requesting or requiring fees or donations from clients as part of the intake process?</w:t>
      </w:r>
      <w:r w:rsidRPr="009F041C">
        <w:rPr>
          <w:rFonts w:ascii="Helvetica" w:hAnsi="Helvetica"/>
        </w:rPr>
        <w:t xml:space="preserve"> No </w:t>
      </w:r>
    </w:p>
    <w:p w14:paraId="31A3F3FF" w14:textId="77777777" w:rsidR="009F041C" w:rsidRPr="009F041C" w:rsidRDefault="009F041C" w:rsidP="009F041C">
      <w:pPr>
        <w:rPr>
          <w:rFonts w:ascii="Helvetica" w:hAnsi="Helvetica"/>
        </w:rPr>
      </w:pPr>
    </w:p>
    <w:p w14:paraId="79D45B5E" w14:textId="77777777" w:rsidR="009F041C" w:rsidRPr="009F041C" w:rsidRDefault="009F041C" w:rsidP="009F041C">
      <w:pPr>
        <w:rPr>
          <w:rFonts w:ascii="Helvetica" w:hAnsi="Helvetica"/>
          <w:b/>
        </w:rPr>
      </w:pPr>
      <w:r w:rsidRPr="009F041C">
        <w:rPr>
          <w:rFonts w:ascii="Helvetica" w:hAnsi="Helvetica"/>
          <w:b/>
        </w:rPr>
        <w:lastRenderedPageBreak/>
        <w:t>3. Collaboration and Coordination: a. Describe how the P&amp;A is collaborating with others in the State, including the DDC and UCEDD.</w:t>
      </w:r>
    </w:p>
    <w:p w14:paraId="62C22E44" w14:textId="77777777" w:rsidR="009F041C" w:rsidRPr="009F041C" w:rsidRDefault="009F041C" w:rsidP="009F041C">
      <w:pPr>
        <w:rPr>
          <w:rFonts w:ascii="Helvetica" w:hAnsi="Helvetica"/>
          <w:b/>
        </w:rPr>
      </w:pPr>
    </w:p>
    <w:p w14:paraId="4E75D020" w14:textId="77777777" w:rsidR="009F041C" w:rsidRPr="009F041C" w:rsidRDefault="009F041C" w:rsidP="009F041C">
      <w:pPr>
        <w:rPr>
          <w:rFonts w:ascii="Helvetica" w:hAnsi="Helvetica"/>
        </w:rPr>
      </w:pPr>
      <w:r w:rsidRPr="009F041C">
        <w:rPr>
          <w:rFonts w:ascii="Helvetica" w:hAnsi="Helvetica"/>
        </w:rPr>
        <w:t xml:space="preserve">DRM’s PADD program collaborates with many others including the Developmental Disabilities Council (DDC) and UCEDD. We are a member of the Maryland DDC and are on the Community Advisory Council for the UCEDD, the Maryland Center on Developmental Disabilities (MCDD). DRM is a participant of: </w:t>
      </w:r>
    </w:p>
    <w:p w14:paraId="18BE4B45" w14:textId="77777777" w:rsidR="009F041C" w:rsidRPr="009F041C" w:rsidRDefault="009F041C" w:rsidP="009F041C">
      <w:pPr>
        <w:rPr>
          <w:rFonts w:ascii="Helvetica" w:hAnsi="Helvetica"/>
        </w:rPr>
      </w:pPr>
      <w:r w:rsidRPr="009F041C">
        <w:rPr>
          <w:rFonts w:ascii="Helvetica" w:hAnsi="Helvetica"/>
        </w:rPr>
        <w:t xml:space="preserve">• Maryland’s Developmental Disabilities Coalition which includes the DDC, People on the Go, The Arc Maryland and the Maryland Association of Community Services; </w:t>
      </w:r>
    </w:p>
    <w:p w14:paraId="575A6244" w14:textId="77777777" w:rsidR="009F041C" w:rsidRPr="009F041C" w:rsidRDefault="009F041C" w:rsidP="009F041C">
      <w:pPr>
        <w:rPr>
          <w:rFonts w:ascii="Helvetica" w:hAnsi="Helvetica"/>
        </w:rPr>
      </w:pPr>
      <w:r w:rsidRPr="009F041C">
        <w:rPr>
          <w:rFonts w:ascii="Helvetica" w:hAnsi="Helvetica"/>
        </w:rPr>
        <w:t xml:space="preserve">• DHMH’s transition team for the Developmental Disabilities Administration’s Medicaid waiver; </w:t>
      </w:r>
    </w:p>
    <w:p w14:paraId="4178C07E" w14:textId="77777777" w:rsidR="009F041C" w:rsidRPr="009F041C" w:rsidRDefault="009F041C" w:rsidP="009F041C">
      <w:pPr>
        <w:rPr>
          <w:rFonts w:ascii="Helvetica" w:hAnsi="Helvetica"/>
        </w:rPr>
      </w:pPr>
      <w:r w:rsidRPr="009F041C">
        <w:rPr>
          <w:rFonts w:ascii="Helvetica" w:hAnsi="Helvetica"/>
        </w:rPr>
        <w:t xml:space="preserve">• DDA’s Waiver Quality Advisory Council; </w:t>
      </w:r>
    </w:p>
    <w:p w14:paraId="507D69EE" w14:textId="77777777" w:rsidR="009F041C" w:rsidRPr="009F041C" w:rsidRDefault="009F041C" w:rsidP="009F041C">
      <w:pPr>
        <w:rPr>
          <w:rFonts w:ascii="Helvetica" w:hAnsi="Helvetica"/>
        </w:rPr>
      </w:pPr>
      <w:r w:rsidRPr="009F041C">
        <w:rPr>
          <w:rFonts w:ascii="Helvetica" w:hAnsi="Helvetica"/>
        </w:rPr>
        <w:t xml:space="preserve">• Maryland Coalition to Reform School Discipline; </w:t>
      </w:r>
    </w:p>
    <w:p w14:paraId="7655A63A" w14:textId="77777777" w:rsidR="009F041C" w:rsidRPr="009F041C" w:rsidRDefault="009F041C" w:rsidP="009F041C">
      <w:pPr>
        <w:rPr>
          <w:rFonts w:ascii="Helvetica" w:hAnsi="Helvetica"/>
        </w:rPr>
      </w:pPr>
      <w:r w:rsidRPr="009F041C">
        <w:rPr>
          <w:rFonts w:ascii="Helvetica" w:hAnsi="Helvetica"/>
        </w:rPr>
        <w:t>• Maryland Disability Rights Coalition;</w:t>
      </w:r>
    </w:p>
    <w:p w14:paraId="4ED6E5F2" w14:textId="77777777" w:rsidR="009F041C" w:rsidRPr="009F041C" w:rsidRDefault="009F041C" w:rsidP="009F041C">
      <w:pPr>
        <w:rPr>
          <w:rFonts w:ascii="Helvetica" w:hAnsi="Helvetica"/>
        </w:rPr>
      </w:pPr>
      <w:r w:rsidRPr="009F041C">
        <w:rPr>
          <w:rFonts w:ascii="Helvetica" w:hAnsi="Helvetica"/>
        </w:rPr>
        <w:t>•DDA’s Employment First Work Group</w:t>
      </w:r>
    </w:p>
    <w:p w14:paraId="25405DE4" w14:textId="77777777" w:rsidR="009F041C" w:rsidRPr="009F041C" w:rsidRDefault="009F041C" w:rsidP="009F041C">
      <w:pPr>
        <w:rPr>
          <w:rFonts w:ascii="Helvetica" w:hAnsi="Helvetica"/>
        </w:rPr>
      </w:pPr>
      <w:r w:rsidRPr="009F041C">
        <w:rPr>
          <w:rFonts w:ascii="Helvetica" w:hAnsi="Helvetica"/>
        </w:rPr>
        <w:t>•DDA’s Individual Planning Work Group</w:t>
      </w:r>
    </w:p>
    <w:p w14:paraId="315EB9AA" w14:textId="77777777" w:rsidR="009F041C" w:rsidRPr="009F041C" w:rsidRDefault="009F041C" w:rsidP="009F041C">
      <w:pPr>
        <w:rPr>
          <w:rFonts w:ascii="Helvetica" w:hAnsi="Helvetica"/>
        </w:rPr>
      </w:pPr>
      <w:r w:rsidRPr="009F041C">
        <w:rPr>
          <w:rFonts w:ascii="Helvetica" w:hAnsi="Helvetica"/>
        </w:rPr>
        <w:t>DRM’s PADD staff meet quarterly on quality issues with DDA, OHCQ, and the State Medicaid agency DRM PADD staff collaborate with the Legal Aid Bureau, the Office of the Public Defender and private counsel as well as the Elder Law and Disability Rights Section of the Maryland Bar Association, health care professionals, hospital staff, resource coordination entities, DDA provider agencies, public guardians DRM works with 20 programs that are part of our Out of School Time (OST) project.</w:t>
      </w:r>
    </w:p>
    <w:p w14:paraId="1A056D53" w14:textId="77777777" w:rsidR="009F041C" w:rsidRPr="009F041C" w:rsidRDefault="009F041C" w:rsidP="009F041C">
      <w:pPr>
        <w:rPr>
          <w:rFonts w:ascii="Helvetica" w:hAnsi="Helvetica"/>
        </w:rPr>
      </w:pPr>
    </w:p>
    <w:p w14:paraId="5D3FD654" w14:textId="77777777" w:rsidR="009F041C" w:rsidRPr="009F041C" w:rsidRDefault="009F041C" w:rsidP="009F041C">
      <w:pPr>
        <w:rPr>
          <w:rFonts w:ascii="Helvetica" w:hAnsi="Helvetica"/>
          <w:b/>
        </w:rPr>
      </w:pPr>
      <w:r w:rsidRPr="009F041C">
        <w:rPr>
          <w:rFonts w:ascii="Helvetica" w:hAnsi="Helvetica"/>
          <w:b/>
        </w:rPr>
        <w:t>b. Describe how the P&amp;A is reducing duplication and overlap of services and sharing of information on service needs.</w:t>
      </w:r>
    </w:p>
    <w:p w14:paraId="750E31CC" w14:textId="77777777" w:rsidR="009F041C" w:rsidRPr="009F041C" w:rsidRDefault="009F041C" w:rsidP="009F041C">
      <w:pPr>
        <w:rPr>
          <w:rFonts w:ascii="Helvetica" w:hAnsi="Helvetica"/>
        </w:rPr>
      </w:pPr>
    </w:p>
    <w:p w14:paraId="3C9964C8" w14:textId="77777777" w:rsidR="009F041C" w:rsidRPr="009F041C" w:rsidRDefault="009F041C" w:rsidP="009F041C">
      <w:pPr>
        <w:rPr>
          <w:rFonts w:ascii="Helvetica" w:hAnsi="Helvetica"/>
        </w:rPr>
      </w:pPr>
      <w:r w:rsidRPr="009F041C">
        <w:rPr>
          <w:rFonts w:ascii="Helvetica" w:hAnsi="Helvetica"/>
        </w:rPr>
        <w:t>DRM fills a unique role in providing free legal representation for people with DD. DRM also plays a unique role in monitoring quality oversight and services for people with disabilities. No other outside agency has the access to individuals and the systemic incident reporting system and regulatory agency reports that we have. However, many organizations play other roles and DRM avoids duplication of effort by: 1. Focusing most of our effort on the services that only DRM can perform 2. Providing limited legal advice and support to our sister advocacy organizations DRM works very closely with the DD Coalition and others. We share information in meetings but also write letters and reports to document concerns. We share this information broadly with many partners.</w:t>
      </w:r>
    </w:p>
    <w:p w14:paraId="63BC284B" w14:textId="77777777" w:rsidR="009F041C" w:rsidRPr="009F041C" w:rsidRDefault="009F041C" w:rsidP="009F041C">
      <w:pPr>
        <w:rPr>
          <w:rFonts w:ascii="Helvetica" w:hAnsi="Helvetica"/>
        </w:rPr>
      </w:pPr>
    </w:p>
    <w:tbl>
      <w:tblPr>
        <w:tblW w:w="9800" w:type="dxa"/>
        <w:tblLook w:val="04A0" w:firstRow="1" w:lastRow="0" w:firstColumn="1" w:lastColumn="0" w:noHBand="0" w:noVBand="1"/>
      </w:tblPr>
      <w:tblGrid>
        <w:gridCol w:w="2500"/>
        <w:gridCol w:w="1660"/>
        <w:gridCol w:w="1390"/>
        <w:gridCol w:w="222"/>
        <w:gridCol w:w="222"/>
        <w:gridCol w:w="1280"/>
        <w:gridCol w:w="1500"/>
        <w:gridCol w:w="1280"/>
      </w:tblGrid>
      <w:tr w:rsidR="009F041C" w:rsidRPr="00D856CC" w14:paraId="0666FE5C" w14:textId="77777777" w:rsidTr="00CA7640">
        <w:trPr>
          <w:trHeight w:val="840"/>
        </w:trPr>
        <w:tc>
          <w:tcPr>
            <w:tcW w:w="9800" w:type="dxa"/>
            <w:gridSpan w:val="8"/>
            <w:tcBorders>
              <w:top w:val="nil"/>
              <w:left w:val="nil"/>
              <w:bottom w:val="nil"/>
              <w:right w:val="nil"/>
            </w:tcBorders>
            <w:shd w:val="clear" w:color="auto" w:fill="auto"/>
            <w:vAlign w:val="bottom"/>
            <w:hideMark/>
          </w:tcPr>
          <w:p w14:paraId="4462A4B4" w14:textId="77777777" w:rsidR="009F041C" w:rsidRDefault="009F041C" w:rsidP="00CA7640">
            <w:pPr>
              <w:jc w:val="center"/>
              <w:rPr>
                <w:rFonts w:ascii="Calibri" w:eastAsia="Times New Roman" w:hAnsi="Calibri"/>
                <w:color w:val="000000"/>
                <w:sz w:val="40"/>
                <w:szCs w:val="40"/>
              </w:rPr>
            </w:pPr>
          </w:p>
          <w:p w14:paraId="175576F8" w14:textId="77777777" w:rsidR="009F041C" w:rsidRDefault="009F041C" w:rsidP="00CA7640">
            <w:pPr>
              <w:jc w:val="center"/>
              <w:rPr>
                <w:rFonts w:ascii="Calibri" w:eastAsia="Times New Roman" w:hAnsi="Calibri"/>
                <w:color w:val="000000"/>
                <w:sz w:val="40"/>
                <w:szCs w:val="40"/>
              </w:rPr>
            </w:pPr>
          </w:p>
          <w:p w14:paraId="44C1B8F2" w14:textId="77777777" w:rsidR="009F041C" w:rsidRDefault="009F041C" w:rsidP="00CA7640">
            <w:pPr>
              <w:jc w:val="center"/>
              <w:rPr>
                <w:rFonts w:ascii="Calibri" w:eastAsia="Times New Roman" w:hAnsi="Calibri"/>
                <w:color w:val="000000"/>
                <w:sz w:val="40"/>
                <w:szCs w:val="40"/>
              </w:rPr>
            </w:pPr>
          </w:p>
          <w:p w14:paraId="56E1063C" w14:textId="77777777" w:rsidR="009F041C" w:rsidRDefault="009F041C" w:rsidP="00CA7640">
            <w:pPr>
              <w:jc w:val="center"/>
              <w:rPr>
                <w:rFonts w:ascii="Calibri" w:eastAsia="Times New Roman" w:hAnsi="Calibri"/>
                <w:color w:val="000000"/>
                <w:sz w:val="40"/>
                <w:szCs w:val="40"/>
              </w:rPr>
            </w:pPr>
          </w:p>
          <w:p w14:paraId="11B92256" w14:textId="77777777" w:rsidR="009F041C" w:rsidRPr="00D856CC" w:rsidRDefault="009F041C" w:rsidP="00CA7640">
            <w:pPr>
              <w:jc w:val="center"/>
              <w:rPr>
                <w:rFonts w:ascii="Calibri" w:eastAsia="Times New Roman" w:hAnsi="Calibri"/>
                <w:color w:val="000000"/>
                <w:sz w:val="40"/>
                <w:szCs w:val="40"/>
              </w:rPr>
            </w:pPr>
            <w:r w:rsidRPr="00D856CC">
              <w:rPr>
                <w:rFonts w:ascii="Calibri" w:eastAsia="Times New Roman" w:hAnsi="Calibri"/>
                <w:color w:val="000000"/>
                <w:sz w:val="40"/>
                <w:szCs w:val="40"/>
              </w:rPr>
              <w:t xml:space="preserve">DDA Provider-Reported Abuse and Neglect Incidents </w:t>
            </w:r>
          </w:p>
        </w:tc>
      </w:tr>
      <w:tr w:rsidR="009F041C" w:rsidRPr="00D856CC" w14:paraId="5C6844E9" w14:textId="77777777" w:rsidTr="00CA7640">
        <w:trPr>
          <w:trHeight w:val="288"/>
        </w:trPr>
        <w:tc>
          <w:tcPr>
            <w:tcW w:w="2500" w:type="dxa"/>
            <w:tcBorders>
              <w:top w:val="nil"/>
              <w:left w:val="nil"/>
              <w:bottom w:val="nil"/>
              <w:right w:val="nil"/>
            </w:tcBorders>
            <w:shd w:val="clear" w:color="auto" w:fill="auto"/>
            <w:vAlign w:val="bottom"/>
            <w:hideMark/>
          </w:tcPr>
          <w:p w14:paraId="3838BCFB" w14:textId="77777777" w:rsidR="009F041C" w:rsidRPr="00D856CC" w:rsidRDefault="009F041C" w:rsidP="00CA7640">
            <w:pPr>
              <w:jc w:val="center"/>
              <w:rPr>
                <w:rFonts w:ascii="Calibri" w:eastAsia="Times New Roman" w:hAnsi="Calibri"/>
                <w:color w:val="000000"/>
                <w:sz w:val="40"/>
                <w:szCs w:val="40"/>
              </w:rPr>
            </w:pPr>
          </w:p>
        </w:tc>
        <w:tc>
          <w:tcPr>
            <w:tcW w:w="1660" w:type="dxa"/>
            <w:tcBorders>
              <w:top w:val="nil"/>
              <w:left w:val="nil"/>
              <w:bottom w:val="nil"/>
              <w:right w:val="nil"/>
            </w:tcBorders>
            <w:shd w:val="clear" w:color="auto" w:fill="auto"/>
            <w:noWrap/>
            <w:vAlign w:val="bottom"/>
            <w:hideMark/>
          </w:tcPr>
          <w:p w14:paraId="73B6AD71"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bottom"/>
            <w:hideMark/>
          </w:tcPr>
          <w:p w14:paraId="4228B419"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2E91FA3A" w14:textId="77777777" w:rsidR="009F041C" w:rsidRPr="00D856CC" w:rsidRDefault="009F041C" w:rsidP="00CA7640">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1394010"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7C5B7A1A" w14:textId="77777777" w:rsidR="009F041C" w:rsidRPr="00D856CC" w:rsidRDefault="009F041C" w:rsidP="00CA7640">
            <w:pPr>
              <w:rPr>
                <w:rFonts w:eastAsia="Times New Roman"/>
                <w:sz w:val="20"/>
                <w:szCs w:val="20"/>
              </w:rPr>
            </w:pPr>
          </w:p>
        </w:tc>
      </w:tr>
      <w:tr w:rsidR="009F041C" w:rsidRPr="00D856CC" w14:paraId="6682675B" w14:textId="77777777" w:rsidTr="00CA7640">
        <w:trPr>
          <w:trHeight w:val="576"/>
        </w:trPr>
        <w:tc>
          <w:tcPr>
            <w:tcW w:w="2500" w:type="dxa"/>
            <w:tcBorders>
              <w:top w:val="nil"/>
              <w:left w:val="nil"/>
              <w:bottom w:val="nil"/>
              <w:right w:val="nil"/>
            </w:tcBorders>
            <w:shd w:val="clear" w:color="auto" w:fill="auto"/>
            <w:vAlign w:val="bottom"/>
            <w:hideMark/>
          </w:tcPr>
          <w:p w14:paraId="27287616" w14:textId="77777777" w:rsidR="009F041C" w:rsidRPr="00D856CC" w:rsidRDefault="009F041C" w:rsidP="00CA7640">
            <w:pPr>
              <w:rPr>
                <w:rFonts w:ascii="Calibri" w:eastAsia="Times New Roman" w:hAnsi="Calibri"/>
                <w:b/>
                <w:bCs/>
                <w:color w:val="000000"/>
                <w:sz w:val="22"/>
              </w:rPr>
            </w:pPr>
            <w:r w:rsidRPr="00D856CC">
              <w:rPr>
                <w:rFonts w:ascii="Calibri" w:eastAsia="Times New Roman" w:hAnsi="Calibri"/>
                <w:b/>
                <w:bCs/>
                <w:color w:val="000000"/>
                <w:sz w:val="22"/>
              </w:rPr>
              <w:t>Incident Type</w:t>
            </w:r>
          </w:p>
        </w:tc>
        <w:tc>
          <w:tcPr>
            <w:tcW w:w="1660" w:type="dxa"/>
            <w:tcBorders>
              <w:top w:val="nil"/>
              <w:left w:val="nil"/>
              <w:bottom w:val="nil"/>
              <w:right w:val="nil"/>
            </w:tcBorders>
            <w:shd w:val="clear" w:color="auto" w:fill="auto"/>
            <w:vAlign w:val="bottom"/>
            <w:hideMark/>
          </w:tcPr>
          <w:p w14:paraId="564702DB" w14:textId="77777777" w:rsidR="009F041C" w:rsidRPr="00D856CC" w:rsidRDefault="009F041C" w:rsidP="00CA7640">
            <w:pPr>
              <w:jc w:val="center"/>
              <w:rPr>
                <w:rFonts w:ascii="Calibri" w:eastAsia="Times New Roman" w:hAnsi="Calibri"/>
                <w:b/>
                <w:bCs/>
                <w:color w:val="000000"/>
                <w:sz w:val="22"/>
              </w:rPr>
            </w:pPr>
            <w:r w:rsidRPr="00D856CC">
              <w:rPr>
                <w:rFonts w:ascii="Calibri" w:eastAsia="Times New Roman" w:hAnsi="Calibri"/>
                <w:b/>
                <w:bCs/>
                <w:color w:val="000000"/>
                <w:sz w:val="22"/>
              </w:rPr>
              <w:t>6/1/2013-5/31/2014</w:t>
            </w:r>
          </w:p>
        </w:tc>
        <w:tc>
          <w:tcPr>
            <w:tcW w:w="1580" w:type="dxa"/>
            <w:gridSpan w:val="3"/>
            <w:tcBorders>
              <w:top w:val="nil"/>
              <w:left w:val="nil"/>
              <w:bottom w:val="nil"/>
              <w:right w:val="nil"/>
            </w:tcBorders>
            <w:shd w:val="clear" w:color="auto" w:fill="auto"/>
            <w:vAlign w:val="bottom"/>
            <w:hideMark/>
          </w:tcPr>
          <w:p w14:paraId="7D4575BB" w14:textId="77777777" w:rsidR="009F041C" w:rsidRPr="00D856CC" w:rsidRDefault="009F041C" w:rsidP="00CA7640">
            <w:pPr>
              <w:jc w:val="center"/>
              <w:rPr>
                <w:rFonts w:ascii="Calibri" w:eastAsia="Times New Roman" w:hAnsi="Calibri"/>
                <w:b/>
                <w:bCs/>
                <w:color w:val="000000"/>
                <w:sz w:val="22"/>
              </w:rPr>
            </w:pPr>
            <w:r w:rsidRPr="00D856CC">
              <w:rPr>
                <w:rFonts w:ascii="Calibri" w:eastAsia="Times New Roman" w:hAnsi="Calibri"/>
                <w:b/>
                <w:bCs/>
                <w:color w:val="000000"/>
                <w:sz w:val="22"/>
              </w:rPr>
              <w:t>6/1/2014-5/31/2015</w:t>
            </w:r>
          </w:p>
        </w:tc>
        <w:tc>
          <w:tcPr>
            <w:tcW w:w="1280" w:type="dxa"/>
            <w:tcBorders>
              <w:top w:val="nil"/>
              <w:left w:val="nil"/>
              <w:bottom w:val="nil"/>
              <w:right w:val="nil"/>
            </w:tcBorders>
            <w:shd w:val="clear" w:color="auto" w:fill="auto"/>
            <w:vAlign w:val="bottom"/>
            <w:hideMark/>
          </w:tcPr>
          <w:p w14:paraId="6CC26F88" w14:textId="77777777" w:rsidR="009F041C" w:rsidRPr="00D856CC" w:rsidRDefault="009F041C" w:rsidP="00CA7640">
            <w:pPr>
              <w:jc w:val="center"/>
              <w:rPr>
                <w:rFonts w:ascii="Calibri" w:eastAsia="Times New Roman" w:hAnsi="Calibri"/>
                <w:b/>
                <w:bCs/>
                <w:color w:val="000000"/>
                <w:sz w:val="22"/>
              </w:rPr>
            </w:pPr>
            <w:r w:rsidRPr="00D856CC">
              <w:rPr>
                <w:rFonts w:ascii="Calibri" w:eastAsia="Times New Roman" w:hAnsi="Calibri"/>
                <w:b/>
                <w:bCs/>
                <w:color w:val="000000"/>
                <w:sz w:val="22"/>
              </w:rPr>
              <w:t>%</w:t>
            </w:r>
            <w:proofErr w:type="gramStart"/>
            <w:r w:rsidRPr="00D856CC">
              <w:rPr>
                <w:rFonts w:ascii="Calibri" w:eastAsia="Times New Roman" w:hAnsi="Calibri"/>
                <w:b/>
                <w:bCs/>
                <w:color w:val="000000"/>
                <w:sz w:val="22"/>
              </w:rPr>
              <w:t>change</w:t>
            </w:r>
            <w:proofErr w:type="gramEnd"/>
            <w:r w:rsidRPr="00D856CC">
              <w:rPr>
                <w:rFonts w:ascii="Calibri" w:eastAsia="Times New Roman" w:hAnsi="Calibri"/>
                <w:b/>
                <w:bCs/>
                <w:color w:val="000000"/>
                <w:sz w:val="22"/>
              </w:rPr>
              <w:t xml:space="preserve"> over prior year</w:t>
            </w:r>
          </w:p>
        </w:tc>
        <w:tc>
          <w:tcPr>
            <w:tcW w:w="1500" w:type="dxa"/>
            <w:tcBorders>
              <w:top w:val="nil"/>
              <w:left w:val="nil"/>
              <w:bottom w:val="nil"/>
              <w:right w:val="nil"/>
            </w:tcBorders>
            <w:shd w:val="clear" w:color="auto" w:fill="auto"/>
            <w:vAlign w:val="bottom"/>
            <w:hideMark/>
          </w:tcPr>
          <w:p w14:paraId="7A3DA41F" w14:textId="77777777" w:rsidR="009F041C" w:rsidRPr="00D856CC" w:rsidRDefault="009F041C" w:rsidP="00CA7640">
            <w:pPr>
              <w:jc w:val="center"/>
              <w:rPr>
                <w:rFonts w:ascii="Calibri" w:eastAsia="Times New Roman" w:hAnsi="Calibri"/>
                <w:b/>
                <w:bCs/>
                <w:color w:val="000000"/>
                <w:sz w:val="22"/>
              </w:rPr>
            </w:pPr>
            <w:r w:rsidRPr="00D856CC">
              <w:rPr>
                <w:rFonts w:ascii="Calibri" w:eastAsia="Times New Roman" w:hAnsi="Calibri"/>
                <w:b/>
                <w:bCs/>
                <w:color w:val="000000"/>
                <w:sz w:val="22"/>
              </w:rPr>
              <w:t>6/1/2015-5/31/2016</w:t>
            </w:r>
          </w:p>
        </w:tc>
        <w:tc>
          <w:tcPr>
            <w:tcW w:w="1280" w:type="dxa"/>
            <w:tcBorders>
              <w:top w:val="nil"/>
              <w:left w:val="nil"/>
              <w:bottom w:val="nil"/>
              <w:right w:val="nil"/>
            </w:tcBorders>
            <w:shd w:val="clear" w:color="auto" w:fill="auto"/>
            <w:vAlign w:val="bottom"/>
            <w:hideMark/>
          </w:tcPr>
          <w:p w14:paraId="29CE32DF" w14:textId="77777777" w:rsidR="009F041C" w:rsidRPr="00D856CC" w:rsidRDefault="009F041C" w:rsidP="00CA7640">
            <w:pPr>
              <w:jc w:val="center"/>
              <w:rPr>
                <w:rFonts w:ascii="Calibri" w:eastAsia="Times New Roman" w:hAnsi="Calibri"/>
                <w:b/>
                <w:bCs/>
                <w:color w:val="000000"/>
                <w:sz w:val="22"/>
              </w:rPr>
            </w:pPr>
            <w:r w:rsidRPr="00D856CC">
              <w:rPr>
                <w:rFonts w:ascii="Calibri" w:eastAsia="Times New Roman" w:hAnsi="Calibri"/>
                <w:b/>
                <w:bCs/>
                <w:color w:val="000000"/>
                <w:sz w:val="22"/>
              </w:rPr>
              <w:t>%</w:t>
            </w:r>
            <w:proofErr w:type="gramStart"/>
            <w:r w:rsidRPr="00D856CC">
              <w:rPr>
                <w:rFonts w:ascii="Calibri" w:eastAsia="Times New Roman" w:hAnsi="Calibri"/>
                <w:b/>
                <w:bCs/>
                <w:color w:val="000000"/>
                <w:sz w:val="22"/>
              </w:rPr>
              <w:t>change</w:t>
            </w:r>
            <w:proofErr w:type="gramEnd"/>
            <w:r w:rsidRPr="00D856CC">
              <w:rPr>
                <w:rFonts w:ascii="Calibri" w:eastAsia="Times New Roman" w:hAnsi="Calibri"/>
                <w:b/>
                <w:bCs/>
                <w:color w:val="000000"/>
                <w:sz w:val="22"/>
              </w:rPr>
              <w:t xml:space="preserve"> over prior year</w:t>
            </w:r>
          </w:p>
        </w:tc>
      </w:tr>
      <w:tr w:rsidR="009F041C" w:rsidRPr="00D856CC" w14:paraId="26F2ED35" w14:textId="77777777" w:rsidTr="00CA7640">
        <w:trPr>
          <w:trHeight w:val="288"/>
        </w:trPr>
        <w:tc>
          <w:tcPr>
            <w:tcW w:w="2500" w:type="dxa"/>
            <w:tcBorders>
              <w:top w:val="nil"/>
              <w:left w:val="nil"/>
              <w:bottom w:val="nil"/>
              <w:right w:val="nil"/>
            </w:tcBorders>
            <w:shd w:val="clear" w:color="auto" w:fill="auto"/>
            <w:vAlign w:val="bottom"/>
            <w:hideMark/>
          </w:tcPr>
          <w:p w14:paraId="33C3FFCD" w14:textId="77777777" w:rsidR="009F041C" w:rsidRPr="00D856CC" w:rsidRDefault="009F041C" w:rsidP="00CA7640">
            <w:pPr>
              <w:jc w:val="center"/>
              <w:rPr>
                <w:rFonts w:ascii="Calibri" w:eastAsia="Times New Roman" w:hAnsi="Calibri"/>
                <w:b/>
                <w:bCs/>
                <w:color w:val="000000"/>
                <w:sz w:val="22"/>
              </w:rPr>
            </w:pPr>
          </w:p>
        </w:tc>
        <w:tc>
          <w:tcPr>
            <w:tcW w:w="1660" w:type="dxa"/>
            <w:tcBorders>
              <w:top w:val="nil"/>
              <w:left w:val="nil"/>
              <w:bottom w:val="nil"/>
              <w:right w:val="nil"/>
            </w:tcBorders>
            <w:shd w:val="clear" w:color="auto" w:fill="auto"/>
            <w:noWrap/>
            <w:vAlign w:val="bottom"/>
            <w:hideMark/>
          </w:tcPr>
          <w:p w14:paraId="01392AFA"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bottom"/>
            <w:hideMark/>
          </w:tcPr>
          <w:p w14:paraId="09326196"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6CD663C6" w14:textId="77777777" w:rsidR="009F041C" w:rsidRPr="00D856CC" w:rsidRDefault="009F041C" w:rsidP="00CA7640">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7BE95AE"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65812846" w14:textId="77777777" w:rsidR="009F041C" w:rsidRPr="00D856CC" w:rsidRDefault="009F041C" w:rsidP="00CA7640">
            <w:pPr>
              <w:rPr>
                <w:rFonts w:eastAsia="Times New Roman"/>
                <w:sz w:val="20"/>
                <w:szCs w:val="20"/>
              </w:rPr>
            </w:pPr>
          </w:p>
        </w:tc>
      </w:tr>
      <w:tr w:rsidR="009F041C" w:rsidRPr="00D856CC" w14:paraId="25EFB687" w14:textId="77777777" w:rsidTr="00CA7640">
        <w:trPr>
          <w:trHeight w:val="288"/>
        </w:trPr>
        <w:tc>
          <w:tcPr>
            <w:tcW w:w="2500" w:type="dxa"/>
            <w:tcBorders>
              <w:top w:val="nil"/>
              <w:left w:val="nil"/>
              <w:bottom w:val="nil"/>
              <w:right w:val="nil"/>
            </w:tcBorders>
            <w:shd w:val="clear" w:color="auto" w:fill="auto"/>
            <w:vAlign w:val="bottom"/>
            <w:hideMark/>
          </w:tcPr>
          <w:p w14:paraId="5082D3AF"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Abuse I</w:t>
            </w:r>
          </w:p>
        </w:tc>
        <w:tc>
          <w:tcPr>
            <w:tcW w:w="1660" w:type="dxa"/>
            <w:tcBorders>
              <w:top w:val="nil"/>
              <w:left w:val="nil"/>
              <w:bottom w:val="nil"/>
              <w:right w:val="nil"/>
            </w:tcBorders>
            <w:shd w:val="clear" w:color="auto" w:fill="auto"/>
            <w:noWrap/>
            <w:vAlign w:val="center"/>
            <w:hideMark/>
          </w:tcPr>
          <w:p w14:paraId="45FFBAB7"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828</w:t>
            </w:r>
          </w:p>
        </w:tc>
        <w:tc>
          <w:tcPr>
            <w:tcW w:w="1580" w:type="dxa"/>
            <w:gridSpan w:val="3"/>
            <w:tcBorders>
              <w:top w:val="nil"/>
              <w:left w:val="nil"/>
              <w:bottom w:val="nil"/>
              <w:right w:val="nil"/>
            </w:tcBorders>
            <w:shd w:val="clear" w:color="auto" w:fill="auto"/>
            <w:noWrap/>
            <w:vAlign w:val="center"/>
            <w:hideMark/>
          </w:tcPr>
          <w:p w14:paraId="7EAAC5A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915</w:t>
            </w:r>
          </w:p>
        </w:tc>
        <w:tc>
          <w:tcPr>
            <w:tcW w:w="1280" w:type="dxa"/>
            <w:tcBorders>
              <w:top w:val="nil"/>
              <w:left w:val="nil"/>
              <w:bottom w:val="nil"/>
              <w:right w:val="nil"/>
            </w:tcBorders>
            <w:shd w:val="clear" w:color="auto" w:fill="auto"/>
            <w:noWrap/>
            <w:vAlign w:val="center"/>
            <w:hideMark/>
          </w:tcPr>
          <w:p w14:paraId="786DD3A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11</w:t>
            </w:r>
          </w:p>
        </w:tc>
        <w:tc>
          <w:tcPr>
            <w:tcW w:w="1500" w:type="dxa"/>
            <w:tcBorders>
              <w:top w:val="nil"/>
              <w:left w:val="nil"/>
              <w:bottom w:val="nil"/>
              <w:right w:val="nil"/>
            </w:tcBorders>
            <w:shd w:val="clear" w:color="auto" w:fill="auto"/>
            <w:noWrap/>
            <w:vAlign w:val="center"/>
            <w:hideMark/>
          </w:tcPr>
          <w:p w14:paraId="285DF08F"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1035</w:t>
            </w:r>
          </w:p>
        </w:tc>
        <w:tc>
          <w:tcPr>
            <w:tcW w:w="1280" w:type="dxa"/>
            <w:tcBorders>
              <w:top w:val="nil"/>
              <w:left w:val="nil"/>
              <w:bottom w:val="nil"/>
              <w:right w:val="nil"/>
            </w:tcBorders>
            <w:shd w:val="clear" w:color="auto" w:fill="auto"/>
            <w:noWrap/>
            <w:vAlign w:val="center"/>
            <w:hideMark/>
          </w:tcPr>
          <w:p w14:paraId="36E262A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13</w:t>
            </w:r>
          </w:p>
        </w:tc>
      </w:tr>
      <w:tr w:rsidR="009F041C" w:rsidRPr="00D856CC" w14:paraId="59B3F615" w14:textId="77777777" w:rsidTr="00CA7640">
        <w:trPr>
          <w:trHeight w:val="288"/>
        </w:trPr>
        <w:tc>
          <w:tcPr>
            <w:tcW w:w="2500" w:type="dxa"/>
            <w:tcBorders>
              <w:top w:val="nil"/>
              <w:left w:val="nil"/>
              <w:bottom w:val="nil"/>
              <w:right w:val="nil"/>
            </w:tcBorders>
            <w:shd w:val="clear" w:color="auto" w:fill="auto"/>
            <w:vAlign w:val="bottom"/>
            <w:hideMark/>
          </w:tcPr>
          <w:p w14:paraId="783A174E"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679D095D"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0E7D22B5"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71A93F23"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04E80333"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3CF7B24" w14:textId="77777777" w:rsidR="009F041C" w:rsidRPr="00D856CC" w:rsidRDefault="009F041C" w:rsidP="00CA7640">
            <w:pPr>
              <w:jc w:val="center"/>
              <w:rPr>
                <w:rFonts w:eastAsia="Times New Roman"/>
                <w:sz w:val="20"/>
                <w:szCs w:val="20"/>
              </w:rPr>
            </w:pPr>
          </w:p>
        </w:tc>
      </w:tr>
      <w:tr w:rsidR="009F041C" w:rsidRPr="00D856CC" w14:paraId="4A4AD74D" w14:textId="77777777" w:rsidTr="00CA7640">
        <w:trPr>
          <w:trHeight w:val="288"/>
        </w:trPr>
        <w:tc>
          <w:tcPr>
            <w:tcW w:w="2500" w:type="dxa"/>
            <w:tcBorders>
              <w:top w:val="nil"/>
              <w:left w:val="nil"/>
              <w:bottom w:val="nil"/>
              <w:right w:val="nil"/>
            </w:tcBorders>
            <w:shd w:val="clear" w:color="auto" w:fill="auto"/>
            <w:vAlign w:val="bottom"/>
            <w:hideMark/>
          </w:tcPr>
          <w:p w14:paraId="67F473F2"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Death I</w:t>
            </w:r>
          </w:p>
        </w:tc>
        <w:tc>
          <w:tcPr>
            <w:tcW w:w="1660" w:type="dxa"/>
            <w:tcBorders>
              <w:top w:val="nil"/>
              <w:left w:val="nil"/>
              <w:bottom w:val="nil"/>
              <w:right w:val="nil"/>
            </w:tcBorders>
            <w:shd w:val="clear" w:color="auto" w:fill="auto"/>
            <w:noWrap/>
            <w:vAlign w:val="center"/>
            <w:hideMark/>
          </w:tcPr>
          <w:p w14:paraId="2810EF7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236</w:t>
            </w:r>
          </w:p>
        </w:tc>
        <w:tc>
          <w:tcPr>
            <w:tcW w:w="1580" w:type="dxa"/>
            <w:gridSpan w:val="3"/>
            <w:tcBorders>
              <w:top w:val="nil"/>
              <w:left w:val="nil"/>
              <w:bottom w:val="nil"/>
              <w:right w:val="nil"/>
            </w:tcBorders>
            <w:shd w:val="clear" w:color="auto" w:fill="auto"/>
            <w:noWrap/>
            <w:vAlign w:val="center"/>
            <w:hideMark/>
          </w:tcPr>
          <w:p w14:paraId="2CBF9F4B"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245</w:t>
            </w:r>
          </w:p>
        </w:tc>
        <w:tc>
          <w:tcPr>
            <w:tcW w:w="1280" w:type="dxa"/>
            <w:tcBorders>
              <w:top w:val="nil"/>
              <w:left w:val="nil"/>
              <w:bottom w:val="nil"/>
              <w:right w:val="nil"/>
            </w:tcBorders>
            <w:shd w:val="clear" w:color="auto" w:fill="auto"/>
            <w:noWrap/>
            <w:vAlign w:val="center"/>
            <w:hideMark/>
          </w:tcPr>
          <w:p w14:paraId="4E4ECBC6"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3FEC485E"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250</w:t>
            </w:r>
          </w:p>
        </w:tc>
        <w:tc>
          <w:tcPr>
            <w:tcW w:w="1280" w:type="dxa"/>
            <w:tcBorders>
              <w:top w:val="nil"/>
              <w:left w:val="nil"/>
              <w:bottom w:val="nil"/>
              <w:right w:val="nil"/>
            </w:tcBorders>
            <w:shd w:val="clear" w:color="auto" w:fill="auto"/>
            <w:noWrap/>
            <w:vAlign w:val="center"/>
            <w:hideMark/>
          </w:tcPr>
          <w:p w14:paraId="66A10507"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w:t>
            </w:r>
          </w:p>
        </w:tc>
      </w:tr>
      <w:tr w:rsidR="009F041C" w:rsidRPr="00D856CC" w14:paraId="4BBE37B0" w14:textId="77777777" w:rsidTr="00CA7640">
        <w:trPr>
          <w:trHeight w:val="288"/>
        </w:trPr>
        <w:tc>
          <w:tcPr>
            <w:tcW w:w="2500" w:type="dxa"/>
            <w:tcBorders>
              <w:top w:val="nil"/>
              <w:left w:val="nil"/>
              <w:bottom w:val="nil"/>
              <w:right w:val="nil"/>
            </w:tcBorders>
            <w:shd w:val="clear" w:color="auto" w:fill="auto"/>
            <w:vAlign w:val="bottom"/>
            <w:hideMark/>
          </w:tcPr>
          <w:p w14:paraId="3432852E"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112C183F"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63AAD6E4"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2C02D6E6"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03FB08E1"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090529D" w14:textId="77777777" w:rsidR="009F041C" w:rsidRPr="00D856CC" w:rsidRDefault="009F041C" w:rsidP="00CA7640">
            <w:pPr>
              <w:jc w:val="center"/>
              <w:rPr>
                <w:rFonts w:eastAsia="Times New Roman"/>
                <w:sz w:val="20"/>
                <w:szCs w:val="20"/>
              </w:rPr>
            </w:pPr>
          </w:p>
        </w:tc>
      </w:tr>
      <w:tr w:rsidR="009F041C" w:rsidRPr="00D856CC" w14:paraId="0FCA276B" w14:textId="77777777" w:rsidTr="00CA7640">
        <w:trPr>
          <w:trHeight w:val="576"/>
        </w:trPr>
        <w:tc>
          <w:tcPr>
            <w:tcW w:w="2500" w:type="dxa"/>
            <w:tcBorders>
              <w:top w:val="nil"/>
              <w:left w:val="nil"/>
              <w:bottom w:val="nil"/>
              <w:right w:val="nil"/>
            </w:tcBorders>
            <w:shd w:val="clear" w:color="auto" w:fill="auto"/>
            <w:vAlign w:val="bottom"/>
            <w:hideMark/>
          </w:tcPr>
          <w:p w14:paraId="5B6B2EEE"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Hospital Admission/Emergency Room Visit - Type I</w:t>
            </w:r>
          </w:p>
        </w:tc>
        <w:tc>
          <w:tcPr>
            <w:tcW w:w="1660" w:type="dxa"/>
            <w:tcBorders>
              <w:top w:val="nil"/>
              <w:left w:val="nil"/>
              <w:bottom w:val="nil"/>
              <w:right w:val="nil"/>
            </w:tcBorders>
            <w:shd w:val="clear" w:color="auto" w:fill="auto"/>
            <w:noWrap/>
            <w:vAlign w:val="center"/>
            <w:hideMark/>
          </w:tcPr>
          <w:p w14:paraId="39F4520E"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2078</w:t>
            </w:r>
          </w:p>
        </w:tc>
        <w:tc>
          <w:tcPr>
            <w:tcW w:w="1580" w:type="dxa"/>
            <w:gridSpan w:val="3"/>
            <w:tcBorders>
              <w:top w:val="nil"/>
              <w:left w:val="nil"/>
              <w:bottom w:val="nil"/>
              <w:right w:val="nil"/>
            </w:tcBorders>
            <w:shd w:val="clear" w:color="auto" w:fill="auto"/>
            <w:noWrap/>
            <w:vAlign w:val="center"/>
            <w:hideMark/>
          </w:tcPr>
          <w:p w14:paraId="6CFCA4A5"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2352</w:t>
            </w:r>
          </w:p>
        </w:tc>
        <w:tc>
          <w:tcPr>
            <w:tcW w:w="1280" w:type="dxa"/>
            <w:tcBorders>
              <w:top w:val="nil"/>
              <w:left w:val="nil"/>
              <w:bottom w:val="nil"/>
              <w:right w:val="nil"/>
            </w:tcBorders>
            <w:shd w:val="clear" w:color="auto" w:fill="auto"/>
            <w:noWrap/>
            <w:vAlign w:val="center"/>
            <w:hideMark/>
          </w:tcPr>
          <w:p w14:paraId="33454BAC"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0474D78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2242</w:t>
            </w:r>
          </w:p>
        </w:tc>
        <w:tc>
          <w:tcPr>
            <w:tcW w:w="1280" w:type="dxa"/>
            <w:tcBorders>
              <w:top w:val="nil"/>
              <w:left w:val="nil"/>
              <w:bottom w:val="nil"/>
              <w:right w:val="nil"/>
            </w:tcBorders>
            <w:shd w:val="clear" w:color="auto" w:fill="auto"/>
            <w:noWrap/>
            <w:vAlign w:val="center"/>
            <w:hideMark/>
          </w:tcPr>
          <w:p w14:paraId="117D5247"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-5</w:t>
            </w:r>
          </w:p>
        </w:tc>
      </w:tr>
      <w:tr w:rsidR="009F041C" w:rsidRPr="00D856CC" w14:paraId="46E7372A" w14:textId="77777777" w:rsidTr="00CA7640">
        <w:trPr>
          <w:trHeight w:val="288"/>
        </w:trPr>
        <w:tc>
          <w:tcPr>
            <w:tcW w:w="2500" w:type="dxa"/>
            <w:tcBorders>
              <w:top w:val="nil"/>
              <w:left w:val="nil"/>
              <w:bottom w:val="nil"/>
              <w:right w:val="nil"/>
            </w:tcBorders>
            <w:shd w:val="clear" w:color="auto" w:fill="auto"/>
            <w:vAlign w:val="bottom"/>
            <w:hideMark/>
          </w:tcPr>
          <w:p w14:paraId="5956DB22"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74218815"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456E7A93"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3A613770"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3E989BF4"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7FA3B86D" w14:textId="77777777" w:rsidR="009F041C" w:rsidRPr="00D856CC" w:rsidRDefault="009F041C" w:rsidP="00CA7640">
            <w:pPr>
              <w:jc w:val="center"/>
              <w:rPr>
                <w:rFonts w:eastAsia="Times New Roman"/>
                <w:sz w:val="20"/>
                <w:szCs w:val="20"/>
              </w:rPr>
            </w:pPr>
          </w:p>
        </w:tc>
      </w:tr>
      <w:tr w:rsidR="009F041C" w:rsidRPr="00D856CC" w14:paraId="6430A19C" w14:textId="77777777" w:rsidTr="00CA7640">
        <w:trPr>
          <w:trHeight w:val="576"/>
        </w:trPr>
        <w:tc>
          <w:tcPr>
            <w:tcW w:w="2500" w:type="dxa"/>
            <w:tcBorders>
              <w:top w:val="nil"/>
              <w:left w:val="nil"/>
              <w:bottom w:val="nil"/>
              <w:right w:val="nil"/>
            </w:tcBorders>
            <w:shd w:val="clear" w:color="auto" w:fill="auto"/>
            <w:vAlign w:val="bottom"/>
            <w:hideMark/>
          </w:tcPr>
          <w:p w14:paraId="2F3C32FB"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Hospital Admission/Psychiatric Admission - Type I</w:t>
            </w:r>
          </w:p>
        </w:tc>
        <w:tc>
          <w:tcPr>
            <w:tcW w:w="1660" w:type="dxa"/>
            <w:tcBorders>
              <w:top w:val="nil"/>
              <w:left w:val="nil"/>
              <w:bottom w:val="nil"/>
              <w:right w:val="nil"/>
            </w:tcBorders>
            <w:shd w:val="clear" w:color="auto" w:fill="auto"/>
            <w:noWrap/>
            <w:vAlign w:val="center"/>
            <w:hideMark/>
          </w:tcPr>
          <w:p w14:paraId="337C902A"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314</w:t>
            </w:r>
          </w:p>
        </w:tc>
        <w:tc>
          <w:tcPr>
            <w:tcW w:w="1580" w:type="dxa"/>
            <w:gridSpan w:val="3"/>
            <w:tcBorders>
              <w:top w:val="nil"/>
              <w:left w:val="nil"/>
              <w:bottom w:val="nil"/>
              <w:right w:val="nil"/>
            </w:tcBorders>
            <w:shd w:val="clear" w:color="auto" w:fill="auto"/>
            <w:noWrap/>
            <w:vAlign w:val="center"/>
            <w:hideMark/>
          </w:tcPr>
          <w:p w14:paraId="4CB371F3"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351</w:t>
            </w:r>
          </w:p>
        </w:tc>
        <w:tc>
          <w:tcPr>
            <w:tcW w:w="1280" w:type="dxa"/>
            <w:tcBorders>
              <w:top w:val="nil"/>
              <w:left w:val="nil"/>
              <w:bottom w:val="nil"/>
              <w:right w:val="nil"/>
            </w:tcBorders>
            <w:shd w:val="clear" w:color="auto" w:fill="auto"/>
            <w:noWrap/>
            <w:vAlign w:val="center"/>
            <w:hideMark/>
          </w:tcPr>
          <w:p w14:paraId="1B275730"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12</w:t>
            </w:r>
          </w:p>
        </w:tc>
        <w:tc>
          <w:tcPr>
            <w:tcW w:w="1500" w:type="dxa"/>
            <w:tcBorders>
              <w:top w:val="nil"/>
              <w:left w:val="nil"/>
              <w:bottom w:val="nil"/>
              <w:right w:val="nil"/>
            </w:tcBorders>
            <w:shd w:val="clear" w:color="auto" w:fill="auto"/>
            <w:noWrap/>
            <w:vAlign w:val="center"/>
            <w:hideMark/>
          </w:tcPr>
          <w:p w14:paraId="4F48931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403</w:t>
            </w:r>
          </w:p>
        </w:tc>
        <w:tc>
          <w:tcPr>
            <w:tcW w:w="1280" w:type="dxa"/>
            <w:tcBorders>
              <w:top w:val="nil"/>
              <w:left w:val="nil"/>
              <w:bottom w:val="nil"/>
              <w:right w:val="nil"/>
            </w:tcBorders>
            <w:shd w:val="clear" w:color="auto" w:fill="auto"/>
            <w:noWrap/>
            <w:vAlign w:val="center"/>
            <w:hideMark/>
          </w:tcPr>
          <w:p w14:paraId="2E3FE493"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15</w:t>
            </w:r>
          </w:p>
        </w:tc>
      </w:tr>
      <w:tr w:rsidR="009F041C" w:rsidRPr="00D856CC" w14:paraId="54D233A3" w14:textId="77777777" w:rsidTr="00CA7640">
        <w:trPr>
          <w:trHeight w:val="288"/>
        </w:trPr>
        <w:tc>
          <w:tcPr>
            <w:tcW w:w="2500" w:type="dxa"/>
            <w:tcBorders>
              <w:top w:val="nil"/>
              <w:left w:val="nil"/>
              <w:bottom w:val="nil"/>
              <w:right w:val="nil"/>
            </w:tcBorders>
            <w:shd w:val="clear" w:color="auto" w:fill="auto"/>
            <w:vAlign w:val="bottom"/>
            <w:hideMark/>
          </w:tcPr>
          <w:p w14:paraId="38B4BF14"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09134134"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42B920B0"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327CDA3"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3908CDEB"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21D072D6" w14:textId="77777777" w:rsidR="009F041C" w:rsidRPr="00D856CC" w:rsidRDefault="009F041C" w:rsidP="00CA7640">
            <w:pPr>
              <w:jc w:val="center"/>
              <w:rPr>
                <w:rFonts w:eastAsia="Times New Roman"/>
                <w:sz w:val="20"/>
                <w:szCs w:val="20"/>
              </w:rPr>
            </w:pPr>
          </w:p>
        </w:tc>
      </w:tr>
      <w:tr w:rsidR="009F041C" w:rsidRPr="00D856CC" w14:paraId="0E14FBAE" w14:textId="77777777" w:rsidTr="00CA7640">
        <w:trPr>
          <w:trHeight w:val="288"/>
        </w:trPr>
        <w:tc>
          <w:tcPr>
            <w:tcW w:w="2500" w:type="dxa"/>
            <w:tcBorders>
              <w:top w:val="nil"/>
              <w:left w:val="nil"/>
              <w:bottom w:val="nil"/>
              <w:right w:val="nil"/>
            </w:tcBorders>
            <w:shd w:val="clear" w:color="auto" w:fill="auto"/>
            <w:vAlign w:val="bottom"/>
            <w:hideMark/>
          </w:tcPr>
          <w:p w14:paraId="1F13E163"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Injury Type I</w:t>
            </w:r>
          </w:p>
        </w:tc>
        <w:tc>
          <w:tcPr>
            <w:tcW w:w="1660" w:type="dxa"/>
            <w:tcBorders>
              <w:top w:val="nil"/>
              <w:left w:val="nil"/>
              <w:bottom w:val="nil"/>
              <w:right w:val="nil"/>
            </w:tcBorders>
            <w:shd w:val="clear" w:color="auto" w:fill="auto"/>
            <w:noWrap/>
            <w:vAlign w:val="center"/>
            <w:hideMark/>
          </w:tcPr>
          <w:p w14:paraId="58BA5F64"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347</w:t>
            </w:r>
          </w:p>
        </w:tc>
        <w:tc>
          <w:tcPr>
            <w:tcW w:w="1580" w:type="dxa"/>
            <w:gridSpan w:val="3"/>
            <w:tcBorders>
              <w:top w:val="nil"/>
              <w:left w:val="nil"/>
              <w:bottom w:val="nil"/>
              <w:right w:val="nil"/>
            </w:tcBorders>
            <w:shd w:val="clear" w:color="auto" w:fill="auto"/>
            <w:noWrap/>
            <w:vAlign w:val="center"/>
            <w:hideMark/>
          </w:tcPr>
          <w:p w14:paraId="00EA63A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363</w:t>
            </w:r>
          </w:p>
        </w:tc>
        <w:tc>
          <w:tcPr>
            <w:tcW w:w="1280" w:type="dxa"/>
            <w:tcBorders>
              <w:top w:val="nil"/>
              <w:left w:val="nil"/>
              <w:bottom w:val="nil"/>
              <w:right w:val="nil"/>
            </w:tcBorders>
            <w:shd w:val="clear" w:color="auto" w:fill="auto"/>
            <w:noWrap/>
            <w:vAlign w:val="center"/>
            <w:hideMark/>
          </w:tcPr>
          <w:p w14:paraId="3AFE0630"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3E403754"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348</w:t>
            </w:r>
          </w:p>
        </w:tc>
        <w:tc>
          <w:tcPr>
            <w:tcW w:w="1280" w:type="dxa"/>
            <w:tcBorders>
              <w:top w:val="nil"/>
              <w:left w:val="nil"/>
              <w:bottom w:val="nil"/>
              <w:right w:val="nil"/>
            </w:tcBorders>
            <w:shd w:val="clear" w:color="auto" w:fill="auto"/>
            <w:noWrap/>
            <w:vAlign w:val="center"/>
            <w:hideMark/>
          </w:tcPr>
          <w:p w14:paraId="4097794B"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w:t>
            </w:r>
          </w:p>
        </w:tc>
      </w:tr>
      <w:tr w:rsidR="009F041C" w:rsidRPr="00D856CC" w14:paraId="5AFC070D" w14:textId="77777777" w:rsidTr="00CA7640">
        <w:trPr>
          <w:trHeight w:val="288"/>
        </w:trPr>
        <w:tc>
          <w:tcPr>
            <w:tcW w:w="2500" w:type="dxa"/>
            <w:tcBorders>
              <w:top w:val="nil"/>
              <w:left w:val="nil"/>
              <w:bottom w:val="nil"/>
              <w:right w:val="nil"/>
            </w:tcBorders>
            <w:shd w:val="clear" w:color="auto" w:fill="auto"/>
            <w:vAlign w:val="bottom"/>
            <w:hideMark/>
          </w:tcPr>
          <w:p w14:paraId="5607F5FC"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0A74B218"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39E10BA0"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0987C8DA"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393110DD"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2A60B492" w14:textId="77777777" w:rsidR="009F041C" w:rsidRPr="00D856CC" w:rsidRDefault="009F041C" w:rsidP="00CA7640">
            <w:pPr>
              <w:jc w:val="center"/>
              <w:rPr>
                <w:rFonts w:eastAsia="Times New Roman"/>
                <w:sz w:val="20"/>
                <w:szCs w:val="20"/>
              </w:rPr>
            </w:pPr>
          </w:p>
        </w:tc>
      </w:tr>
      <w:tr w:rsidR="009F041C" w:rsidRPr="00D856CC" w14:paraId="4873CCBF" w14:textId="77777777" w:rsidTr="00CA7640">
        <w:trPr>
          <w:trHeight w:val="288"/>
        </w:trPr>
        <w:tc>
          <w:tcPr>
            <w:tcW w:w="2500" w:type="dxa"/>
            <w:tcBorders>
              <w:top w:val="nil"/>
              <w:left w:val="nil"/>
              <w:bottom w:val="nil"/>
              <w:right w:val="nil"/>
            </w:tcBorders>
            <w:shd w:val="clear" w:color="auto" w:fill="auto"/>
            <w:vAlign w:val="bottom"/>
            <w:hideMark/>
          </w:tcPr>
          <w:p w14:paraId="11A7588A"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Medication Error - Type I</w:t>
            </w:r>
          </w:p>
        </w:tc>
        <w:tc>
          <w:tcPr>
            <w:tcW w:w="1660" w:type="dxa"/>
            <w:tcBorders>
              <w:top w:val="nil"/>
              <w:left w:val="nil"/>
              <w:bottom w:val="nil"/>
              <w:right w:val="nil"/>
            </w:tcBorders>
            <w:shd w:val="clear" w:color="auto" w:fill="auto"/>
            <w:noWrap/>
            <w:vAlign w:val="center"/>
            <w:hideMark/>
          </w:tcPr>
          <w:p w14:paraId="5BFC5F4D"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81</w:t>
            </w:r>
          </w:p>
        </w:tc>
        <w:tc>
          <w:tcPr>
            <w:tcW w:w="1580" w:type="dxa"/>
            <w:gridSpan w:val="3"/>
            <w:tcBorders>
              <w:top w:val="nil"/>
              <w:left w:val="nil"/>
              <w:bottom w:val="nil"/>
              <w:right w:val="nil"/>
            </w:tcBorders>
            <w:shd w:val="clear" w:color="auto" w:fill="auto"/>
            <w:noWrap/>
            <w:vAlign w:val="center"/>
            <w:hideMark/>
          </w:tcPr>
          <w:p w14:paraId="7BE0FD83"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114</w:t>
            </w:r>
          </w:p>
        </w:tc>
        <w:tc>
          <w:tcPr>
            <w:tcW w:w="1280" w:type="dxa"/>
            <w:tcBorders>
              <w:top w:val="nil"/>
              <w:left w:val="nil"/>
              <w:bottom w:val="nil"/>
              <w:right w:val="nil"/>
            </w:tcBorders>
            <w:shd w:val="clear" w:color="auto" w:fill="auto"/>
            <w:noWrap/>
            <w:vAlign w:val="center"/>
            <w:hideMark/>
          </w:tcPr>
          <w:p w14:paraId="016A840E"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41</w:t>
            </w:r>
          </w:p>
        </w:tc>
        <w:tc>
          <w:tcPr>
            <w:tcW w:w="1500" w:type="dxa"/>
            <w:tcBorders>
              <w:top w:val="nil"/>
              <w:left w:val="nil"/>
              <w:bottom w:val="nil"/>
              <w:right w:val="nil"/>
            </w:tcBorders>
            <w:shd w:val="clear" w:color="auto" w:fill="auto"/>
            <w:noWrap/>
            <w:vAlign w:val="center"/>
            <w:hideMark/>
          </w:tcPr>
          <w:p w14:paraId="6E58AB21"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102</w:t>
            </w:r>
          </w:p>
        </w:tc>
        <w:tc>
          <w:tcPr>
            <w:tcW w:w="1280" w:type="dxa"/>
            <w:tcBorders>
              <w:top w:val="nil"/>
              <w:left w:val="nil"/>
              <w:bottom w:val="nil"/>
              <w:right w:val="nil"/>
            </w:tcBorders>
            <w:shd w:val="clear" w:color="auto" w:fill="auto"/>
            <w:noWrap/>
            <w:vAlign w:val="center"/>
            <w:hideMark/>
          </w:tcPr>
          <w:p w14:paraId="5AAA0AF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-7</w:t>
            </w:r>
          </w:p>
        </w:tc>
      </w:tr>
      <w:tr w:rsidR="009F041C" w:rsidRPr="00D856CC" w14:paraId="1BD9712E" w14:textId="77777777" w:rsidTr="00CA7640">
        <w:trPr>
          <w:trHeight w:val="288"/>
        </w:trPr>
        <w:tc>
          <w:tcPr>
            <w:tcW w:w="2500" w:type="dxa"/>
            <w:tcBorders>
              <w:top w:val="nil"/>
              <w:left w:val="nil"/>
              <w:bottom w:val="nil"/>
              <w:right w:val="nil"/>
            </w:tcBorders>
            <w:shd w:val="clear" w:color="auto" w:fill="auto"/>
            <w:vAlign w:val="bottom"/>
            <w:hideMark/>
          </w:tcPr>
          <w:p w14:paraId="1D829082"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34EE8BE4"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3E797A4D"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555B8F5"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54A578CD"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6B183C98" w14:textId="77777777" w:rsidR="009F041C" w:rsidRPr="00D856CC" w:rsidRDefault="009F041C" w:rsidP="00CA7640">
            <w:pPr>
              <w:jc w:val="center"/>
              <w:rPr>
                <w:rFonts w:eastAsia="Times New Roman"/>
                <w:sz w:val="20"/>
                <w:szCs w:val="20"/>
              </w:rPr>
            </w:pPr>
          </w:p>
        </w:tc>
      </w:tr>
      <w:tr w:rsidR="009F041C" w:rsidRPr="00D856CC" w14:paraId="4DB71674" w14:textId="77777777" w:rsidTr="00CA7640">
        <w:trPr>
          <w:trHeight w:val="288"/>
        </w:trPr>
        <w:tc>
          <w:tcPr>
            <w:tcW w:w="2500" w:type="dxa"/>
            <w:tcBorders>
              <w:top w:val="nil"/>
              <w:left w:val="nil"/>
              <w:bottom w:val="nil"/>
              <w:right w:val="nil"/>
            </w:tcBorders>
            <w:shd w:val="clear" w:color="auto" w:fill="auto"/>
            <w:vAlign w:val="bottom"/>
            <w:hideMark/>
          </w:tcPr>
          <w:p w14:paraId="7FD7C328"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Neglect - Type I</w:t>
            </w:r>
          </w:p>
        </w:tc>
        <w:tc>
          <w:tcPr>
            <w:tcW w:w="1660" w:type="dxa"/>
            <w:tcBorders>
              <w:top w:val="nil"/>
              <w:left w:val="nil"/>
              <w:bottom w:val="nil"/>
              <w:right w:val="nil"/>
            </w:tcBorders>
            <w:shd w:val="clear" w:color="auto" w:fill="auto"/>
            <w:noWrap/>
            <w:vAlign w:val="center"/>
            <w:hideMark/>
          </w:tcPr>
          <w:p w14:paraId="1366C062"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586</w:t>
            </w:r>
          </w:p>
        </w:tc>
        <w:tc>
          <w:tcPr>
            <w:tcW w:w="1580" w:type="dxa"/>
            <w:gridSpan w:val="3"/>
            <w:tcBorders>
              <w:top w:val="nil"/>
              <w:left w:val="nil"/>
              <w:bottom w:val="nil"/>
              <w:right w:val="nil"/>
            </w:tcBorders>
            <w:shd w:val="clear" w:color="auto" w:fill="auto"/>
            <w:noWrap/>
            <w:vAlign w:val="center"/>
            <w:hideMark/>
          </w:tcPr>
          <w:p w14:paraId="67EF23F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571</w:t>
            </w:r>
          </w:p>
        </w:tc>
        <w:tc>
          <w:tcPr>
            <w:tcW w:w="1280" w:type="dxa"/>
            <w:tcBorders>
              <w:top w:val="nil"/>
              <w:left w:val="nil"/>
              <w:bottom w:val="nil"/>
              <w:right w:val="nil"/>
            </w:tcBorders>
            <w:shd w:val="clear" w:color="auto" w:fill="auto"/>
            <w:noWrap/>
            <w:vAlign w:val="center"/>
            <w:hideMark/>
          </w:tcPr>
          <w:p w14:paraId="5C440662"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38B5D244"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543</w:t>
            </w:r>
          </w:p>
        </w:tc>
        <w:tc>
          <w:tcPr>
            <w:tcW w:w="1280" w:type="dxa"/>
            <w:tcBorders>
              <w:top w:val="nil"/>
              <w:left w:val="nil"/>
              <w:bottom w:val="nil"/>
              <w:right w:val="nil"/>
            </w:tcBorders>
            <w:shd w:val="clear" w:color="auto" w:fill="auto"/>
            <w:noWrap/>
            <w:vAlign w:val="center"/>
            <w:hideMark/>
          </w:tcPr>
          <w:p w14:paraId="32504D6D"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-5</w:t>
            </w:r>
          </w:p>
        </w:tc>
      </w:tr>
      <w:tr w:rsidR="009F041C" w:rsidRPr="00D856CC" w14:paraId="77055AF0" w14:textId="77777777" w:rsidTr="00CA7640">
        <w:trPr>
          <w:trHeight w:val="288"/>
        </w:trPr>
        <w:tc>
          <w:tcPr>
            <w:tcW w:w="2500" w:type="dxa"/>
            <w:tcBorders>
              <w:top w:val="nil"/>
              <w:left w:val="nil"/>
              <w:bottom w:val="nil"/>
              <w:right w:val="nil"/>
            </w:tcBorders>
            <w:shd w:val="clear" w:color="auto" w:fill="auto"/>
            <w:vAlign w:val="bottom"/>
            <w:hideMark/>
          </w:tcPr>
          <w:p w14:paraId="03E54167"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0D0AB70E"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6F1D551F"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3577993"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5DDFEB38"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724FB5FB" w14:textId="77777777" w:rsidR="009F041C" w:rsidRPr="00D856CC" w:rsidRDefault="009F041C" w:rsidP="00CA7640">
            <w:pPr>
              <w:jc w:val="center"/>
              <w:rPr>
                <w:rFonts w:eastAsia="Times New Roman"/>
                <w:sz w:val="20"/>
                <w:szCs w:val="20"/>
              </w:rPr>
            </w:pPr>
          </w:p>
        </w:tc>
      </w:tr>
      <w:tr w:rsidR="009F041C" w:rsidRPr="00D856CC" w14:paraId="18B128DF" w14:textId="77777777" w:rsidTr="00CA7640">
        <w:trPr>
          <w:trHeight w:val="576"/>
        </w:trPr>
        <w:tc>
          <w:tcPr>
            <w:tcW w:w="2500" w:type="dxa"/>
            <w:tcBorders>
              <w:top w:val="nil"/>
              <w:left w:val="nil"/>
              <w:bottom w:val="nil"/>
              <w:right w:val="nil"/>
            </w:tcBorders>
            <w:shd w:val="clear" w:color="auto" w:fill="auto"/>
            <w:vAlign w:val="bottom"/>
            <w:hideMark/>
          </w:tcPr>
          <w:p w14:paraId="237E93AA"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Restraint - Chemical Intervention - Type II</w:t>
            </w:r>
          </w:p>
        </w:tc>
        <w:tc>
          <w:tcPr>
            <w:tcW w:w="1660" w:type="dxa"/>
            <w:tcBorders>
              <w:top w:val="nil"/>
              <w:left w:val="nil"/>
              <w:bottom w:val="nil"/>
              <w:right w:val="nil"/>
            </w:tcBorders>
            <w:shd w:val="clear" w:color="auto" w:fill="auto"/>
            <w:noWrap/>
            <w:vAlign w:val="center"/>
            <w:hideMark/>
          </w:tcPr>
          <w:p w14:paraId="49F39894"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323</w:t>
            </w:r>
          </w:p>
        </w:tc>
        <w:tc>
          <w:tcPr>
            <w:tcW w:w="1580" w:type="dxa"/>
            <w:gridSpan w:val="3"/>
            <w:tcBorders>
              <w:top w:val="nil"/>
              <w:left w:val="nil"/>
              <w:bottom w:val="nil"/>
              <w:right w:val="nil"/>
            </w:tcBorders>
            <w:shd w:val="clear" w:color="auto" w:fill="auto"/>
            <w:noWrap/>
            <w:vAlign w:val="center"/>
            <w:hideMark/>
          </w:tcPr>
          <w:p w14:paraId="21314BF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443</w:t>
            </w:r>
          </w:p>
        </w:tc>
        <w:tc>
          <w:tcPr>
            <w:tcW w:w="1280" w:type="dxa"/>
            <w:tcBorders>
              <w:top w:val="nil"/>
              <w:left w:val="nil"/>
              <w:bottom w:val="nil"/>
              <w:right w:val="nil"/>
            </w:tcBorders>
            <w:shd w:val="clear" w:color="auto" w:fill="auto"/>
            <w:noWrap/>
            <w:vAlign w:val="center"/>
            <w:hideMark/>
          </w:tcPr>
          <w:p w14:paraId="7B3C39A3"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507C2C8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268</w:t>
            </w:r>
          </w:p>
        </w:tc>
        <w:tc>
          <w:tcPr>
            <w:tcW w:w="1280" w:type="dxa"/>
            <w:tcBorders>
              <w:top w:val="nil"/>
              <w:left w:val="nil"/>
              <w:bottom w:val="nil"/>
              <w:right w:val="nil"/>
            </w:tcBorders>
            <w:shd w:val="clear" w:color="auto" w:fill="auto"/>
            <w:noWrap/>
            <w:vAlign w:val="center"/>
            <w:hideMark/>
          </w:tcPr>
          <w:p w14:paraId="46C5433C"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-40</w:t>
            </w:r>
          </w:p>
        </w:tc>
      </w:tr>
      <w:tr w:rsidR="009F041C" w:rsidRPr="00D856CC" w14:paraId="66A661B3" w14:textId="77777777" w:rsidTr="00CA7640">
        <w:trPr>
          <w:trHeight w:val="288"/>
        </w:trPr>
        <w:tc>
          <w:tcPr>
            <w:tcW w:w="2500" w:type="dxa"/>
            <w:tcBorders>
              <w:top w:val="nil"/>
              <w:left w:val="nil"/>
              <w:bottom w:val="nil"/>
              <w:right w:val="nil"/>
            </w:tcBorders>
            <w:shd w:val="clear" w:color="auto" w:fill="auto"/>
            <w:vAlign w:val="bottom"/>
            <w:hideMark/>
          </w:tcPr>
          <w:p w14:paraId="5F799ED8"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57CFA846"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54775D2B"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023E2F5D"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26ABB61D"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24763A46" w14:textId="77777777" w:rsidR="009F041C" w:rsidRPr="00D856CC" w:rsidRDefault="009F041C" w:rsidP="00CA7640">
            <w:pPr>
              <w:jc w:val="center"/>
              <w:rPr>
                <w:rFonts w:eastAsia="Times New Roman"/>
                <w:sz w:val="20"/>
                <w:szCs w:val="20"/>
              </w:rPr>
            </w:pPr>
          </w:p>
        </w:tc>
      </w:tr>
      <w:tr w:rsidR="009F041C" w:rsidRPr="00D856CC" w14:paraId="3263E1D5" w14:textId="77777777" w:rsidTr="00CA7640">
        <w:trPr>
          <w:trHeight w:val="864"/>
        </w:trPr>
        <w:tc>
          <w:tcPr>
            <w:tcW w:w="2500" w:type="dxa"/>
            <w:tcBorders>
              <w:top w:val="nil"/>
              <w:left w:val="nil"/>
              <w:bottom w:val="nil"/>
              <w:right w:val="nil"/>
            </w:tcBorders>
            <w:shd w:val="clear" w:color="auto" w:fill="auto"/>
            <w:vAlign w:val="bottom"/>
            <w:hideMark/>
          </w:tcPr>
          <w:p w14:paraId="17FEFACE"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Restraint - Unauthorized /Inappropriate Use of Restraints - Type II</w:t>
            </w:r>
          </w:p>
        </w:tc>
        <w:tc>
          <w:tcPr>
            <w:tcW w:w="1660" w:type="dxa"/>
            <w:tcBorders>
              <w:top w:val="nil"/>
              <w:left w:val="nil"/>
              <w:bottom w:val="nil"/>
              <w:right w:val="nil"/>
            </w:tcBorders>
            <w:shd w:val="clear" w:color="auto" w:fill="auto"/>
            <w:noWrap/>
            <w:vAlign w:val="center"/>
            <w:hideMark/>
          </w:tcPr>
          <w:p w14:paraId="2BE85E1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184</w:t>
            </w:r>
          </w:p>
        </w:tc>
        <w:tc>
          <w:tcPr>
            <w:tcW w:w="1580" w:type="dxa"/>
            <w:gridSpan w:val="3"/>
            <w:tcBorders>
              <w:top w:val="nil"/>
              <w:left w:val="nil"/>
              <w:bottom w:val="nil"/>
              <w:right w:val="nil"/>
            </w:tcBorders>
            <w:shd w:val="clear" w:color="auto" w:fill="auto"/>
            <w:noWrap/>
            <w:vAlign w:val="center"/>
            <w:hideMark/>
          </w:tcPr>
          <w:p w14:paraId="0C6E8D79"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182</w:t>
            </w:r>
          </w:p>
        </w:tc>
        <w:tc>
          <w:tcPr>
            <w:tcW w:w="1280" w:type="dxa"/>
            <w:tcBorders>
              <w:top w:val="nil"/>
              <w:left w:val="nil"/>
              <w:bottom w:val="nil"/>
              <w:right w:val="nil"/>
            </w:tcBorders>
            <w:shd w:val="clear" w:color="auto" w:fill="auto"/>
            <w:noWrap/>
            <w:vAlign w:val="center"/>
            <w:hideMark/>
          </w:tcPr>
          <w:p w14:paraId="08360AC4"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1C47B056"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256</w:t>
            </w:r>
          </w:p>
        </w:tc>
        <w:tc>
          <w:tcPr>
            <w:tcW w:w="1280" w:type="dxa"/>
            <w:tcBorders>
              <w:top w:val="nil"/>
              <w:left w:val="nil"/>
              <w:bottom w:val="nil"/>
              <w:right w:val="nil"/>
            </w:tcBorders>
            <w:shd w:val="clear" w:color="auto" w:fill="auto"/>
            <w:noWrap/>
            <w:vAlign w:val="center"/>
            <w:hideMark/>
          </w:tcPr>
          <w:p w14:paraId="05449063"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41</w:t>
            </w:r>
          </w:p>
        </w:tc>
      </w:tr>
      <w:tr w:rsidR="009F041C" w:rsidRPr="00D856CC" w14:paraId="74968A10" w14:textId="77777777" w:rsidTr="00CA7640">
        <w:trPr>
          <w:trHeight w:val="288"/>
        </w:trPr>
        <w:tc>
          <w:tcPr>
            <w:tcW w:w="2500" w:type="dxa"/>
            <w:tcBorders>
              <w:top w:val="nil"/>
              <w:left w:val="nil"/>
              <w:bottom w:val="nil"/>
              <w:right w:val="nil"/>
            </w:tcBorders>
            <w:shd w:val="clear" w:color="auto" w:fill="auto"/>
            <w:vAlign w:val="bottom"/>
            <w:hideMark/>
          </w:tcPr>
          <w:p w14:paraId="3CDB873D"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center"/>
            <w:hideMark/>
          </w:tcPr>
          <w:p w14:paraId="4CE0075A"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center"/>
            <w:hideMark/>
          </w:tcPr>
          <w:p w14:paraId="4986D984"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55538447" w14:textId="77777777" w:rsidR="009F041C" w:rsidRPr="00D856CC" w:rsidRDefault="009F041C" w:rsidP="00CA7640">
            <w:pPr>
              <w:jc w:val="center"/>
              <w:rPr>
                <w:rFonts w:eastAsia="Times New Roman"/>
                <w:sz w:val="20"/>
                <w:szCs w:val="20"/>
              </w:rPr>
            </w:pPr>
          </w:p>
        </w:tc>
        <w:tc>
          <w:tcPr>
            <w:tcW w:w="1500" w:type="dxa"/>
            <w:tcBorders>
              <w:top w:val="nil"/>
              <w:left w:val="nil"/>
              <w:bottom w:val="nil"/>
              <w:right w:val="nil"/>
            </w:tcBorders>
            <w:shd w:val="clear" w:color="auto" w:fill="auto"/>
            <w:noWrap/>
            <w:vAlign w:val="center"/>
            <w:hideMark/>
          </w:tcPr>
          <w:p w14:paraId="00068425" w14:textId="77777777" w:rsidR="009F041C" w:rsidRPr="00D856CC" w:rsidRDefault="009F041C" w:rsidP="00CA7640">
            <w:pPr>
              <w:jc w:val="center"/>
              <w:rPr>
                <w:rFonts w:eastAsia="Times New Roman"/>
                <w:sz w:val="20"/>
                <w:szCs w:val="20"/>
              </w:rPr>
            </w:pPr>
          </w:p>
        </w:tc>
        <w:tc>
          <w:tcPr>
            <w:tcW w:w="1280" w:type="dxa"/>
            <w:tcBorders>
              <w:top w:val="nil"/>
              <w:left w:val="nil"/>
              <w:bottom w:val="nil"/>
              <w:right w:val="nil"/>
            </w:tcBorders>
            <w:shd w:val="clear" w:color="auto" w:fill="auto"/>
            <w:noWrap/>
            <w:vAlign w:val="center"/>
            <w:hideMark/>
          </w:tcPr>
          <w:p w14:paraId="15082595" w14:textId="77777777" w:rsidR="009F041C" w:rsidRPr="00D856CC" w:rsidRDefault="009F041C" w:rsidP="00CA7640">
            <w:pPr>
              <w:jc w:val="center"/>
              <w:rPr>
                <w:rFonts w:eastAsia="Times New Roman"/>
                <w:sz w:val="20"/>
                <w:szCs w:val="20"/>
              </w:rPr>
            </w:pPr>
          </w:p>
        </w:tc>
      </w:tr>
      <w:tr w:rsidR="009F041C" w:rsidRPr="00D856CC" w14:paraId="297D0B71" w14:textId="77777777" w:rsidTr="00CA7640">
        <w:trPr>
          <w:trHeight w:val="864"/>
        </w:trPr>
        <w:tc>
          <w:tcPr>
            <w:tcW w:w="2500" w:type="dxa"/>
            <w:tcBorders>
              <w:top w:val="nil"/>
              <w:left w:val="nil"/>
              <w:bottom w:val="nil"/>
              <w:right w:val="nil"/>
            </w:tcBorders>
            <w:shd w:val="clear" w:color="auto" w:fill="auto"/>
            <w:vAlign w:val="bottom"/>
            <w:hideMark/>
          </w:tcPr>
          <w:p w14:paraId="4E3B7381" w14:textId="77777777" w:rsidR="009F041C" w:rsidRPr="00D856CC" w:rsidRDefault="009F041C" w:rsidP="00CA7640">
            <w:pPr>
              <w:rPr>
                <w:rFonts w:ascii="Calibri" w:eastAsia="Times New Roman" w:hAnsi="Calibri"/>
                <w:color w:val="000000"/>
                <w:sz w:val="22"/>
              </w:rPr>
            </w:pPr>
            <w:r w:rsidRPr="00D856CC">
              <w:rPr>
                <w:rFonts w:ascii="Calibri" w:eastAsia="Times New Roman" w:hAnsi="Calibri"/>
                <w:color w:val="000000"/>
                <w:sz w:val="22"/>
              </w:rPr>
              <w:t>Restraint - Use of Restraints that Result in Any Type of Insult - Type II</w:t>
            </w:r>
          </w:p>
        </w:tc>
        <w:tc>
          <w:tcPr>
            <w:tcW w:w="1660" w:type="dxa"/>
            <w:tcBorders>
              <w:top w:val="nil"/>
              <w:left w:val="nil"/>
              <w:bottom w:val="nil"/>
              <w:right w:val="nil"/>
            </w:tcBorders>
            <w:shd w:val="clear" w:color="auto" w:fill="auto"/>
            <w:noWrap/>
            <w:vAlign w:val="center"/>
            <w:hideMark/>
          </w:tcPr>
          <w:p w14:paraId="59CAEEA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9</w:t>
            </w:r>
          </w:p>
        </w:tc>
        <w:tc>
          <w:tcPr>
            <w:tcW w:w="1580" w:type="dxa"/>
            <w:gridSpan w:val="3"/>
            <w:tcBorders>
              <w:top w:val="nil"/>
              <w:left w:val="nil"/>
              <w:bottom w:val="nil"/>
              <w:right w:val="nil"/>
            </w:tcBorders>
            <w:shd w:val="clear" w:color="auto" w:fill="auto"/>
            <w:noWrap/>
            <w:vAlign w:val="center"/>
            <w:hideMark/>
          </w:tcPr>
          <w:p w14:paraId="5932983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8</w:t>
            </w:r>
          </w:p>
        </w:tc>
        <w:tc>
          <w:tcPr>
            <w:tcW w:w="1280" w:type="dxa"/>
            <w:tcBorders>
              <w:top w:val="nil"/>
              <w:left w:val="nil"/>
              <w:bottom w:val="nil"/>
              <w:right w:val="nil"/>
            </w:tcBorders>
            <w:shd w:val="clear" w:color="auto" w:fill="auto"/>
            <w:noWrap/>
            <w:vAlign w:val="center"/>
            <w:hideMark/>
          </w:tcPr>
          <w:p w14:paraId="0506797C" w14:textId="77777777" w:rsidR="009F041C" w:rsidRPr="00D856CC" w:rsidRDefault="009F041C" w:rsidP="00CA7640">
            <w:pPr>
              <w:jc w:val="center"/>
              <w:rPr>
                <w:rFonts w:ascii="Calibri" w:eastAsia="Times New Roman" w:hAnsi="Calibri"/>
                <w:color w:val="000000"/>
                <w:sz w:val="22"/>
              </w:rPr>
            </w:pPr>
          </w:p>
        </w:tc>
        <w:tc>
          <w:tcPr>
            <w:tcW w:w="1500" w:type="dxa"/>
            <w:tcBorders>
              <w:top w:val="nil"/>
              <w:left w:val="nil"/>
              <w:bottom w:val="nil"/>
              <w:right w:val="nil"/>
            </w:tcBorders>
            <w:shd w:val="clear" w:color="auto" w:fill="auto"/>
            <w:noWrap/>
            <w:vAlign w:val="center"/>
            <w:hideMark/>
          </w:tcPr>
          <w:p w14:paraId="646F350E"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8</w:t>
            </w:r>
          </w:p>
        </w:tc>
        <w:tc>
          <w:tcPr>
            <w:tcW w:w="1280" w:type="dxa"/>
            <w:tcBorders>
              <w:top w:val="nil"/>
              <w:left w:val="nil"/>
              <w:bottom w:val="nil"/>
              <w:right w:val="nil"/>
            </w:tcBorders>
            <w:shd w:val="clear" w:color="auto" w:fill="auto"/>
            <w:noWrap/>
            <w:vAlign w:val="center"/>
            <w:hideMark/>
          </w:tcPr>
          <w:p w14:paraId="19533DF8" w14:textId="77777777" w:rsidR="009F041C" w:rsidRPr="00D856CC" w:rsidRDefault="009F041C" w:rsidP="00CA7640">
            <w:pPr>
              <w:jc w:val="center"/>
              <w:rPr>
                <w:rFonts w:ascii="Calibri" w:eastAsia="Times New Roman" w:hAnsi="Calibri"/>
                <w:color w:val="000000"/>
                <w:sz w:val="22"/>
              </w:rPr>
            </w:pPr>
            <w:r w:rsidRPr="00D856CC">
              <w:rPr>
                <w:rFonts w:ascii="Calibri" w:eastAsia="Times New Roman" w:hAnsi="Calibri"/>
                <w:color w:val="000000"/>
                <w:sz w:val="22"/>
              </w:rPr>
              <w:t>0</w:t>
            </w:r>
          </w:p>
        </w:tc>
      </w:tr>
      <w:tr w:rsidR="009F041C" w:rsidRPr="00D856CC" w14:paraId="01C6677C" w14:textId="77777777" w:rsidTr="00CA7640">
        <w:trPr>
          <w:trHeight w:val="288"/>
        </w:trPr>
        <w:tc>
          <w:tcPr>
            <w:tcW w:w="2500" w:type="dxa"/>
            <w:tcBorders>
              <w:top w:val="nil"/>
              <w:left w:val="nil"/>
              <w:bottom w:val="nil"/>
              <w:right w:val="nil"/>
            </w:tcBorders>
            <w:shd w:val="clear" w:color="auto" w:fill="auto"/>
            <w:vAlign w:val="bottom"/>
            <w:hideMark/>
          </w:tcPr>
          <w:p w14:paraId="3D2CB84E" w14:textId="77777777" w:rsidR="009F041C" w:rsidRPr="00D856CC" w:rsidRDefault="009F041C" w:rsidP="00CA7640">
            <w:pPr>
              <w:jc w:val="center"/>
              <w:rPr>
                <w:rFonts w:ascii="Calibri" w:eastAsia="Times New Roman" w:hAnsi="Calibri"/>
                <w:color w:val="000000"/>
                <w:sz w:val="22"/>
              </w:rPr>
            </w:pPr>
          </w:p>
        </w:tc>
        <w:tc>
          <w:tcPr>
            <w:tcW w:w="1660" w:type="dxa"/>
            <w:tcBorders>
              <w:top w:val="nil"/>
              <w:left w:val="nil"/>
              <w:bottom w:val="nil"/>
              <w:right w:val="nil"/>
            </w:tcBorders>
            <w:shd w:val="clear" w:color="auto" w:fill="auto"/>
            <w:noWrap/>
            <w:vAlign w:val="bottom"/>
            <w:hideMark/>
          </w:tcPr>
          <w:p w14:paraId="77A76266" w14:textId="77777777" w:rsidR="009F041C" w:rsidRPr="00D856CC" w:rsidRDefault="009F041C" w:rsidP="00CA7640">
            <w:pPr>
              <w:rPr>
                <w:rFonts w:eastAsia="Times New Roman"/>
                <w:sz w:val="20"/>
                <w:szCs w:val="20"/>
              </w:rPr>
            </w:pPr>
          </w:p>
        </w:tc>
        <w:tc>
          <w:tcPr>
            <w:tcW w:w="1580" w:type="dxa"/>
            <w:gridSpan w:val="3"/>
            <w:tcBorders>
              <w:top w:val="nil"/>
              <w:left w:val="nil"/>
              <w:bottom w:val="nil"/>
              <w:right w:val="nil"/>
            </w:tcBorders>
            <w:shd w:val="clear" w:color="auto" w:fill="auto"/>
            <w:noWrap/>
            <w:vAlign w:val="bottom"/>
            <w:hideMark/>
          </w:tcPr>
          <w:p w14:paraId="6B76C9A1"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472218F4" w14:textId="77777777" w:rsidR="009F041C" w:rsidRPr="00D856CC" w:rsidRDefault="009F041C" w:rsidP="00CA7640">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2241F09" w14:textId="77777777" w:rsidR="009F041C" w:rsidRPr="00D856CC"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3EC7604E" w14:textId="77777777" w:rsidR="009F041C" w:rsidRPr="00D856CC" w:rsidRDefault="009F041C" w:rsidP="00CA7640">
            <w:pPr>
              <w:rPr>
                <w:rFonts w:eastAsia="Times New Roman"/>
                <w:sz w:val="20"/>
                <w:szCs w:val="20"/>
              </w:rPr>
            </w:pPr>
          </w:p>
        </w:tc>
      </w:tr>
      <w:tr w:rsidR="009F041C" w:rsidRPr="00434A73" w14:paraId="058175B4" w14:textId="77777777" w:rsidTr="00CA7640">
        <w:trPr>
          <w:gridAfter w:val="1"/>
          <w:wAfter w:w="1280" w:type="dxa"/>
          <w:trHeight w:val="288"/>
        </w:trPr>
        <w:tc>
          <w:tcPr>
            <w:tcW w:w="5740" w:type="dxa"/>
            <w:gridSpan w:val="5"/>
            <w:tcBorders>
              <w:top w:val="nil"/>
              <w:left w:val="nil"/>
              <w:bottom w:val="nil"/>
              <w:right w:val="nil"/>
            </w:tcBorders>
            <w:shd w:val="clear" w:color="auto" w:fill="auto"/>
            <w:noWrap/>
            <w:vAlign w:val="bottom"/>
            <w:hideMark/>
          </w:tcPr>
          <w:p w14:paraId="337CADAE" w14:textId="77777777" w:rsidR="009F041C" w:rsidRPr="00434A73" w:rsidRDefault="009F041C" w:rsidP="00CA7640">
            <w:pPr>
              <w:rPr>
                <w:rFonts w:ascii="Calibri" w:eastAsia="Times New Roman" w:hAnsi="Calibri"/>
                <w:color w:val="000000"/>
                <w:sz w:val="28"/>
                <w:szCs w:val="28"/>
              </w:rPr>
            </w:pPr>
            <w:r>
              <w:rPr>
                <w:rFonts w:ascii="Calibri" w:eastAsia="Times New Roman" w:hAnsi="Calibri"/>
                <w:color w:val="000000"/>
                <w:sz w:val="28"/>
                <w:szCs w:val="28"/>
              </w:rPr>
              <w:t>DRM Intake</w:t>
            </w:r>
            <w:r w:rsidRPr="00434A73">
              <w:rPr>
                <w:rFonts w:ascii="Calibri" w:eastAsia="Times New Roman" w:hAnsi="Calibri"/>
                <w:color w:val="000000"/>
                <w:sz w:val="28"/>
                <w:szCs w:val="28"/>
              </w:rPr>
              <w:t xml:space="preserve"> calls closed as Information and Referral</w:t>
            </w:r>
            <w:r>
              <w:rPr>
                <w:rFonts w:ascii="Calibri" w:eastAsia="Times New Roman" w:hAnsi="Calibri"/>
                <w:color w:val="000000"/>
                <w:sz w:val="28"/>
                <w:szCs w:val="28"/>
              </w:rPr>
              <w:t xml:space="preserve">  </w:t>
            </w:r>
            <w:r>
              <w:rPr>
                <w:b/>
              </w:rPr>
              <w:t>8/1/2015-7/31/2016</w:t>
            </w:r>
          </w:p>
        </w:tc>
        <w:tc>
          <w:tcPr>
            <w:tcW w:w="1280" w:type="dxa"/>
            <w:tcBorders>
              <w:top w:val="nil"/>
              <w:left w:val="nil"/>
              <w:bottom w:val="nil"/>
              <w:right w:val="nil"/>
            </w:tcBorders>
            <w:shd w:val="clear" w:color="auto" w:fill="auto"/>
            <w:noWrap/>
            <w:vAlign w:val="bottom"/>
            <w:hideMark/>
          </w:tcPr>
          <w:p w14:paraId="511FB771" w14:textId="77777777" w:rsidR="009F041C" w:rsidRPr="00434A73" w:rsidRDefault="009F041C" w:rsidP="00CA7640">
            <w:pPr>
              <w:rPr>
                <w:rFonts w:ascii="Calibri" w:eastAsia="Times New Roman" w:hAnsi="Calibri"/>
                <w:color w:val="000000"/>
                <w:sz w:val="28"/>
                <w:szCs w:val="28"/>
              </w:rPr>
            </w:pPr>
          </w:p>
        </w:tc>
        <w:tc>
          <w:tcPr>
            <w:tcW w:w="1500" w:type="dxa"/>
            <w:tcBorders>
              <w:top w:val="nil"/>
              <w:left w:val="nil"/>
              <w:bottom w:val="nil"/>
              <w:right w:val="nil"/>
            </w:tcBorders>
            <w:shd w:val="clear" w:color="auto" w:fill="auto"/>
            <w:noWrap/>
            <w:vAlign w:val="bottom"/>
            <w:hideMark/>
          </w:tcPr>
          <w:p w14:paraId="48CD429E" w14:textId="77777777" w:rsidR="009F041C" w:rsidRPr="00434A73" w:rsidRDefault="009F041C" w:rsidP="00CA7640">
            <w:pPr>
              <w:rPr>
                <w:rFonts w:eastAsia="Times New Roman"/>
                <w:sz w:val="20"/>
                <w:szCs w:val="20"/>
              </w:rPr>
            </w:pPr>
          </w:p>
        </w:tc>
      </w:tr>
      <w:tr w:rsidR="009F041C" w:rsidRPr="00434A73" w14:paraId="24AF9F6B" w14:textId="77777777" w:rsidTr="00CA7640">
        <w:trPr>
          <w:gridAfter w:val="1"/>
          <w:wAfter w:w="1280" w:type="dxa"/>
          <w:trHeight w:val="288"/>
        </w:trPr>
        <w:tc>
          <w:tcPr>
            <w:tcW w:w="5550" w:type="dxa"/>
            <w:gridSpan w:val="3"/>
            <w:tcBorders>
              <w:top w:val="nil"/>
              <w:left w:val="nil"/>
              <w:bottom w:val="nil"/>
              <w:right w:val="nil"/>
            </w:tcBorders>
            <w:shd w:val="clear" w:color="auto" w:fill="auto"/>
            <w:noWrap/>
            <w:vAlign w:val="bottom"/>
            <w:hideMark/>
          </w:tcPr>
          <w:p w14:paraId="528D26BF" w14:textId="77777777" w:rsidR="009F041C" w:rsidRPr="00434A73" w:rsidRDefault="009F041C" w:rsidP="00CA7640">
            <w:pPr>
              <w:rPr>
                <w:rFonts w:eastAsia="Times New Roman"/>
                <w:sz w:val="20"/>
                <w:szCs w:val="20"/>
              </w:rPr>
            </w:pPr>
          </w:p>
        </w:tc>
        <w:tc>
          <w:tcPr>
            <w:tcW w:w="95" w:type="dxa"/>
            <w:tcBorders>
              <w:top w:val="nil"/>
              <w:left w:val="nil"/>
              <w:bottom w:val="nil"/>
              <w:right w:val="nil"/>
            </w:tcBorders>
            <w:shd w:val="clear" w:color="auto" w:fill="auto"/>
            <w:noWrap/>
            <w:vAlign w:val="bottom"/>
            <w:hideMark/>
          </w:tcPr>
          <w:p w14:paraId="0C145B9C" w14:textId="77777777" w:rsidR="009F041C" w:rsidRPr="00434A73" w:rsidRDefault="009F041C" w:rsidP="00CA7640">
            <w:pPr>
              <w:rPr>
                <w:rFonts w:eastAsia="Times New Roman"/>
                <w:sz w:val="20"/>
                <w:szCs w:val="20"/>
              </w:rPr>
            </w:pPr>
          </w:p>
        </w:tc>
        <w:tc>
          <w:tcPr>
            <w:tcW w:w="95" w:type="dxa"/>
            <w:tcBorders>
              <w:top w:val="nil"/>
              <w:left w:val="nil"/>
              <w:bottom w:val="nil"/>
              <w:right w:val="nil"/>
            </w:tcBorders>
            <w:shd w:val="clear" w:color="auto" w:fill="auto"/>
            <w:noWrap/>
            <w:vAlign w:val="bottom"/>
            <w:hideMark/>
          </w:tcPr>
          <w:p w14:paraId="040B2A92" w14:textId="77777777" w:rsidR="009F041C" w:rsidRPr="00434A73" w:rsidRDefault="009F041C" w:rsidP="00CA7640">
            <w:pPr>
              <w:rPr>
                <w:rFonts w:eastAsia="Times New Roman"/>
                <w:sz w:val="20"/>
                <w:szCs w:val="20"/>
              </w:rPr>
            </w:pPr>
          </w:p>
        </w:tc>
        <w:tc>
          <w:tcPr>
            <w:tcW w:w="1280" w:type="dxa"/>
            <w:tcBorders>
              <w:top w:val="nil"/>
              <w:left w:val="nil"/>
              <w:bottom w:val="nil"/>
              <w:right w:val="nil"/>
            </w:tcBorders>
            <w:shd w:val="clear" w:color="auto" w:fill="auto"/>
            <w:noWrap/>
            <w:vAlign w:val="bottom"/>
            <w:hideMark/>
          </w:tcPr>
          <w:p w14:paraId="3B6CCDAD" w14:textId="77777777" w:rsidR="009F041C" w:rsidRPr="00434A73" w:rsidRDefault="009F041C" w:rsidP="00CA7640">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1B26E2" w14:textId="77777777" w:rsidR="009F041C" w:rsidRPr="00434A73" w:rsidRDefault="009F041C" w:rsidP="00CA7640">
            <w:pPr>
              <w:rPr>
                <w:rFonts w:eastAsia="Times New Roman"/>
                <w:sz w:val="20"/>
                <w:szCs w:val="20"/>
              </w:rPr>
            </w:pPr>
          </w:p>
        </w:tc>
      </w:tr>
    </w:tbl>
    <w:tbl>
      <w:tblPr>
        <w:tblStyle w:val="TableGrid"/>
        <w:tblW w:w="6175" w:type="dxa"/>
        <w:tblLook w:val="04A0" w:firstRow="1" w:lastRow="0" w:firstColumn="1" w:lastColumn="0" w:noHBand="0" w:noVBand="1"/>
      </w:tblPr>
      <w:tblGrid>
        <w:gridCol w:w="4675"/>
        <w:gridCol w:w="1500"/>
      </w:tblGrid>
      <w:tr w:rsidR="009F041C" w14:paraId="413CA640" w14:textId="77777777" w:rsidTr="00CA7640">
        <w:tc>
          <w:tcPr>
            <w:tcW w:w="4675" w:type="dxa"/>
            <w:vAlign w:val="bottom"/>
          </w:tcPr>
          <w:p w14:paraId="00839442"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Abuse</w:t>
            </w:r>
          </w:p>
        </w:tc>
        <w:tc>
          <w:tcPr>
            <w:tcW w:w="1500" w:type="dxa"/>
            <w:vAlign w:val="bottom"/>
          </w:tcPr>
          <w:p w14:paraId="52DB46EC"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12</w:t>
            </w:r>
          </w:p>
        </w:tc>
      </w:tr>
      <w:tr w:rsidR="009F041C" w14:paraId="5FA46A91" w14:textId="77777777" w:rsidTr="00CA7640">
        <w:tc>
          <w:tcPr>
            <w:tcW w:w="4675" w:type="dxa"/>
            <w:vAlign w:val="bottom"/>
          </w:tcPr>
          <w:p w14:paraId="4EC2B460"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Access to records</w:t>
            </w:r>
          </w:p>
        </w:tc>
        <w:tc>
          <w:tcPr>
            <w:tcW w:w="1500" w:type="dxa"/>
            <w:vAlign w:val="bottom"/>
          </w:tcPr>
          <w:p w14:paraId="1E8E9986"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2</w:t>
            </w:r>
          </w:p>
        </w:tc>
      </w:tr>
      <w:tr w:rsidR="009F041C" w14:paraId="137E61AE" w14:textId="77777777" w:rsidTr="00CA7640">
        <w:tc>
          <w:tcPr>
            <w:tcW w:w="4675" w:type="dxa"/>
            <w:vAlign w:val="bottom"/>
          </w:tcPr>
          <w:p w14:paraId="4199220E"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Criminal justice</w:t>
            </w:r>
          </w:p>
        </w:tc>
        <w:tc>
          <w:tcPr>
            <w:tcW w:w="1500" w:type="dxa"/>
            <w:vAlign w:val="bottom"/>
          </w:tcPr>
          <w:p w14:paraId="2ABC43B6"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5</w:t>
            </w:r>
          </w:p>
        </w:tc>
      </w:tr>
      <w:tr w:rsidR="009F041C" w14:paraId="63DAFCDF" w14:textId="77777777" w:rsidTr="00CA7640">
        <w:tc>
          <w:tcPr>
            <w:tcW w:w="4675" w:type="dxa"/>
            <w:vAlign w:val="bottom"/>
          </w:tcPr>
          <w:p w14:paraId="72760B67"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Custody/Parental Rights</w:t>
            </w:r>
          </w:p>
        </w:tc>
        <w:tc>
          <w:tcPr>
            <w:tcW w:w="1500" w:type="dxa"/>
            <w:vAlign w:val="bottom"/>
          </w:tcPr>
          <w:p w14:paraId="35A05B4A"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13</w:t>
            </w:r>
          </w:p>
        </w:tc>
      </w:tr>
      <w:tr w:rsidR="009F041C" w14:paraId="5563DA82" w14:textId="77777777" w:rsidTr="00CA7640">
        <w:tc>
          <w:tcPr>
            <w:tcW w:w="4675" w:type="dxa"/>
            <w:vAlign w:val="bottom"/>
          </w:tcPr>
          <w:p w14:paraId="6323F2CB"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Education</w:t>
            </w:r>
          </w:p>
        </w:tc>
        <w:tc>
          <w:tcPr>
            <w:tcW w:w="1500" w:type="dxa"/>
            <w:vAlign w:val="bottom"/>
          </w:tcPr>
          <w:p w14:paraId="75263248"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97</w:t>
            </w:r>
          </w:p>
        </w:tc>
      </w:tr>
      <w:tr w:rsidR="009F041C" w14:paraId="3A919F60" w14:textId="77777777" w:rsidTr="00CA7640">
        <w:tc>
          <w:tcPr>
            <w:tcW w:w="4675" w:type="dxa"/>
            <w:vAlign w:val="bottom"/>
          </w:tcPr>
          <w:p w14:paraId="72C28BDC"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Employment</w:t>
            </w:r>
          </w:p>
        </w:tc>
        <w:tc>
          <w:tcPr>
            <w:tcW w:w="1500" w:type="dxa"/>
            <w:vAlign w:val="bottom"/>
          </w:tcPr>
          <w:p w14:paraId="2C7C6093"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4</w:t>
            </w:r>
          </w:p>
        </w:tc>
      </w:tr>
      <w:tr w:rsidR="009F041C" w14:paraId="355AD63D" w14:textId="77777777" w:rsidTr="00CA7640">
        <w:tc>
          <w:tcPr>
            <w:tcW w:w="4675" w:type="dxa"/>
            <w:vAlign w:val="bottom"/>
          </w:tcPr>
          <w:p w14:paraId="7F9BF3A6"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Financial Benefits</w:t>
            </w:r>
          </w:p>
        </w:tc>
        <w:tc>
          <w:tcPr>
            <w:tcW w:w="1500" w:type="dxa"/>
            <w:vAlign w:val="bottom"/>
          </w:tcPr>
          <w:p w14:paraId="1CDF15FA"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12</w:t>
            </w:r>
          </w:p>
        </w:tc>
      </w:tr>
      <w:tr w:rsidR="009F041C" w14:paraId="50F051C3" w14:textId="77777777" w:rsidTr="00CA7640">
        <w:tc>
          <w:tcPr>
            <w:tcW w:w="4675" w:type="dxa"/>
            <w:vAlign w:val="bottom"/>
          </w:tcPr>
          <w:p w14:paraId="78D9A166"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lastRenderedPageBreak/>
              <w:t>Government Benefits</w:t>
            </w:r>
          </w:p>
        </w:tc>
        <w:tc>
          <w:tcPr>
            <w:tcW w:w="1500" w:type="dxa"/>
            <w:vAlign w:val="bottom"/>
          </w:tcPr>
          <w:p w14:paraId="5011AB95"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51</w:t>
            </w:r>
          </w:p>
        </w:tc>
      </w:tr>
      <w:tr w:rsidR="009F041C" w14:paraId="0A7C896D" w14:textId="77777777" w:rsidTr="00CA7640">
        <w:tc>
          <w:tcPr>
            <w:tcW w:w="4675" w:type="dxa"/>
            <w:vAlign w:val="bottom"/>
          </w:tcPr>
          <w:p w14:paraId="2E7D8F7D"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 xml:space="preserve">Guardianship </w:t>
            </w:r>
          </w:p>
        </w:tc>
        <w:tc>
          <w:tcPr>
            <w:tcW w:w="1500" w:type="dxa"/>
            <w:vAlign w:val="bottom"/>
          </w:tcPr>
          <w:p w14:paraId="21F68C99"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12</w:t>
            </w:r>
          </w:p>
        </w:tc>
      </w:tr>
      <w:tr w:rsidR="009F041C" w14:paraId="33DC165A" w14:textId="77777777" w:rsidTr="00CA7640">
        <w:tc>
          <w:tcPr>
            <w:tcW w:w="4675" w:type="dxa"/>
            <w:vAlign w:val="bottom"/>
          </w:tcPr>
          <w:p w14:paraId="66B0C4C8"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Health care</w:t>
            </w:r>
          </w:p>
        </w:tc>
        <w:tc>
          <w:tcPr>
            <w:tcW w:w="1500" w:type="dxa"/>
            <w:vAlign w:val="bottom"/>
          </w:tcPr>
          <w:p w14:paraId="267A109D"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20</w:t>
            </w:r>
          </w:p>
        </w:tc>
      </w:tr>
      <w:tr w:rsidR="009F041C" w14:paraId="18C24833" w14:textId="77777777" w:rsidTr="00CA7640">
        <w:tc>
          <w:tcPr>
            <w:tcW w:w="4675" w:type="dxa"/>
            <w:vAlign w:val="bottom"/>
          </w:tcPr>
          <w:p w14:paraId="1D5240D5"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HCBS services</w:t>
            </w:r>
          </w:p>
        </w:tc>
        <w:tc>
          <w:tcPr>
            <w:tcW w:w="1500" w:type="dxa"/>
            <w:vAlign w:val="bottom"/>
          </w:tcPr>
          <w:p w14:paraId="778DDF73"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43</w:t>
            </w:r>
          </w:p>
        </w:tc>
      </w:tr>
      <w:tr w:rsidR="009F041C" w14:paraId="3244EB60" w14:textId="77777777" w:rsidTr="00CA7640">
        <w:tc>
          <w:tcPr>
            <w:tcW w:w="4675" w:type="dxa"/>
            <w:vAlign w:val="bottom"/>
          </w:tcPr>
          <w:p w14:paraId="70588518"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Housing</w:t>
            </w:r>
          </w:p>
        </w:tc>
        <w:tc>
          <w:tcPr>
            <w:tcW w:w="1500" w:type="dxa"/>
            <w:vAlign w:val="bottom"/>
          </w:tcPr>
          <w:p w14:paraId="0EF6EF3F"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9</w:t>
            </w:r>
          </w:p>
        </w:tc>
      </w:tr>
      <w:tr w:rsidR="009F041C" w14:paraId="60BB97F9" w14:textId="77777777" w:rsidTr="00CA7640">
        <w:tc>
          <w:tcPr>
            <w:tcW w:w="4675" w:type="dxa"/>
            <w:vAlign w:val="bottom"/>
          </w:tcPr>
          <w:p w14:paraId="19069127"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Neglect</w:t>
            </w:r>
          </w:p>
        </w:tc>
        <w:tc>
          <w:tcPr>
            <w:tcW w:w="1500" w:type="dxa"/>
            <w:vAlign w:val="bottom"/>
          </w:tcPr>
          <w:p w14:paraId="2BFB3F64" w14:textId="77777777" w:rsidR="009F041C" w:rsidRPr="00434A73" w:rsidRDefault="009F041C" w:rsidP="00CA7640">
            <w:pPr>
              <w:jc w:val="right"/>
              <w:rPr>
                <w:rFonts w:ascii="Calibri" w:eastAsia="Times New Roman" w:hAnsi="Calibri" w:cs="Times New Roman"/>
                <w:color w:val="000000"/>
                <w:sz w:val="22"/>
              </w:rPr>
            </w:pPr>
            <w:r w:rsidRPr="00434A73">
              <w:rPr>
                <w:rFonts w:ascii="Calibri" w:eastAsia="Times New Roman" w:hAnsi="Calibri" w:cs="Times New Roman"/>
                <w:color w:val="000000"/>
                <w:sz w:val="22"/>
              </w:rPr>
              <w:t>18</w:t>
            </w:r>
          </w:p>
        </w:tc>
      </w:tr>
      <w:tr w:rsidR="009F041C" w14:paraId="4FE3A79D" w14:textId="77777777" w:rsidTr="00CA7640">
        <w:tc>
          <w:tcPr>
            <w:tcW w:w="4675" w:type="dxa"/>
            <w:vAlign w:val="bottom"/>
          </w:tcPr>
          <w:p w14:paraId="17C21196" w14:textId="77777777" w:rsidR="009F041C" w:rsidRPr="00434A73" w:rsidRDefault="009F041C" w:rsidP="00CA7640">
            <w:pPr>
              <w:rPr>
                <w:rFonts w:ascii="Calibri" w:eastAsia="Times New Roman" w:hAnsi="Calibri" w:cs="Times New Roman"/>
                <w:color w:val="000000"/>
                <w:sz w:val="22"/>
              </w:rPr>
            </w:pPr>
            <w:r>
              <w:rPr>
                <w:rFonts w:ascii="Calibri" w:eastAsia="Times New Roman" w:hAnsi="Calibri" w:cs="Times New Roman"/>
                <w:color w:val="000000"/>
                <w:sz w:val="22"/>
              </w:rPr>
              <w:t>Other</w:t>
            </w:r>
          </w:p>
        </w:tc>
        <w:tc>
          <w:tcPr>
            <w:tcW w:w="1500" w:type="dxa"/>
            <w:vAlign w:val="bottom"/>
          </w:tcPr>
          <w:p w14:paraId="0B297113" w14:textId="77777777" w:rsidR="009F041C" w:rsidRPr="00434A73"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13</w:t>
            </w:r>
          </w:p>
        </w:tc>
      </w:tr>
      <w:tr w:rsidR="009F041C" w14:paraId="1F098919" w14:textId="77777777" w:rsidTr="00CA7640">
        <w:tc>
          <w:tcPr>
            <w:tcW w:w="4675" w:type="dxa"/>
            <w:vAlign w:val="bottom"/>
          </w:tcPr>
          <w:p w14:paraId="6BA21756" w14:textId="77777777" w:rsidR="009F041C" w:rsidRPr="00434A73" w:rsidRDefault="009F041C" w:rsidP="00CA7640">
            <w:pPr>
              <w:rPr>
                <w:rFonts w:ascii="Calibri" w:eastAsia="Times New Roman" w:hAnsi="Calibri" w:cs="Times New Roman"/>
                <w:color w:val="000000"/>
                <w:sz w:val="22"/>
              </w:rPr>
            </w:pPr>
            <w:r w:rsidRPr="00434A73">
              <w:rPr>
                <w:rFonts w:ascii="Calibri" w:eastAsia="Times New Roman" w:hAnsi="Calibri" w:cs="Times New Roman"/>
                <w:color w:val="000000"/>
                <w:sz w:val="22"/>
              </w:rPr>
              <w:t>Quality Assurance including abuse, neglect &amp; other violations of rights</w:t>
            </w:r>
          </w:p>
        </w:tc>
        <w:tc>
          <w:tcPr>
            <w:tcW w:w="1500" w:type="dxa"/>
            <w:vAlign w:val="bottom"/>
          </w:tcPr>
          <w:p w14:paraId="44662E43" w14:textId="77777777" w:rsidR="009F041C" w:rsidRPr="00434A73"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25</w:t>
            </w:r>
          </w:p>
        </w:tc>
      </w:tr>
      <w:tr w:rsidR="009F041C" w14:paraId="3DC3C045" w14:textId="77777777" w:rsidTr="00CA7640">
        <w:tc>
          <w:tcPr>
            <w:tcW w:w="4675" w:type="dxa"/>
            <w:vAlign w:val="bottom"/>
          </w:tcPr>
          <w:p w14:paraId="4BDD45DE" w14:textId="77777777" w:rsidR="009F041C" w:rsidRPr="00434A73" w:rsidRDefault="009F041C" w:rsidP="00CA7640">
            <w:pPr>
              <w:rPr>
                <w:rFonts w:ascii="Calibri" w:eastAsia="Times New Roman" w:hAnsi="Calibri" w:cs="Times New Roman"/>
                <w:color w:val="000000"/>
                <w:sz w:val="22"/>
              </w:rPr>
            </w:pPr>
            <w:r>
              <w:rPr>
                <w:rFonts w:ascii="Calibri" w:eastAsia="Times New Roman" w:hAnsi="Calibri" w:cs="Times New Roman"/>
                <w:color w:val="000000"/>
                <w:sz w:val="22"/>
              </w:rPr>
              <w:t>Rights Violations</w:t>
            </w:r>
          </w:p>
        </w:tc>
        <w:tc>
          <w:tcPr>
            <w:tcW w:w="1500" w:type="dxa"/>
            <w:vAlign w:val="bottom"/>
          </w:tcPr>
          <w:p w14:paraId="02CE41ED" w14:textId="77777777" w:rsidR="009F041C" w:rsidRPr="00434A73"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3</w:t>
            </w:r>
          </w:p>
        </w:tc>
      </w:tr>
      <w:tr w:rsidR="009F041C" w14:paraId="27E5CBD2" w14:textId="77777777" w:rsidTr="00CA7640">
        <w:tc>
          <w:tcPr>
            <w:tcW w:w="4675" w:type="dxa"/>
            <w:vAlign w:val="bottom"/>
          </w:tcPr>
          <w:p w14:paraId="19B3E020" w14:textId="77777777" w:rsidR="009F041C" w:rsidRDefault="009F041C" w:rsidP="00CA7640">
            <w:pPr>
              <w:rPr>
                <w:rFonts w:ascii="Calibri" w:eastAsia="Times New Roman" w:hAnsi="Calibri" w:cs="Times New Roman"/>
                <w:color w:val="000000"/>
                <w:sz w:val="22"/>
              </w:rPr>
            </w:pPr>
            <w:r>
              <w:rPr>
                <w:rFonts w:ascii="Calibri" w:eastAsia="Times New Roman" w:hAnsi="Calibri" w:cs="Times New Roman"/>
                <w:color w:val="000000"/>
                <w:sz w:val="22"/>
              </w:rPr>
              <w:t>Services</w:t>
            </w:r>
          </w:p>
        </w:tc>
        <w:tc>
          <w:tcPr>
            <w:tcW w:w="1500" w:type="dxa"/>
            <w:vAlign w:val="bottom"/>
          </w:tcPr>
          <w:p w14:paraId="24A9F9ED" w14:textId="77777777" w:rsidR="009F041C"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6</w:t>
            </w:r>
          </w:p>
        </w:tc>
      </w:tr>
      <w:tr w:rsidR="009F041C" w14:paraId="0CF41707" w14:textId="77777777" w:rsidTr="00CA7640">
        <w:tc>
          <w:tcPr>
            <w:tcW w:w="4675" w:type="dxa"/>
            <w:vAlign w:val="bottom"/>
          </w:tcPr>
          <w:p w14:paraId="35C8FF25" w14:textId="77777777" w:rsidR="009F041C" w:rsidRDefault="009F041C" w:rsidP="00CA7640">
            <w:pPr>
              <w:rPr>
                <w:rFonts w:ascii="Calibri" w:eastAsia="Times New Roman" w:hAnsi="Calibri" w:cs="Times New Roman"/>
                <w:color w:val="000000"/>
                <w:sz w:val="22"/>
              </w:rPr>
            </w:pPr>
            <w:r>
              <w:rPr>
                <w:rFonts w:ascii="Calibri" w:eastAsia="Times New Roman" w:hAnsi="Calibri" w:cs="Times New Roman"/>
                <w:color w:val="000000"/>
                <w:sz w:val="22"/>
              </w:rPr>
              <w:t>Transportation</w:t>
            </w:r>
          </w:p>
        </w:tc>
        <w:tc>
          <w:tcPr>
            <w:tcW w:w="1500" w:type="dxa"/>
            <w:vAlign w:val="bottom"/>
          </w:tcPr>
          <w:p w14:paraId="7AF10FB2" w14:textId="77777777" w:rsidR="009F041C"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3</w:t>
            </w:r>
          </w:p>
        </w:tc>
      </w:tr>
      <w:tr w:rsidR="009F041C" w14:paraId="64EABCE6" w14:textId="77777777" w:rsidTr="00CA7640">
        <w:tc>
          <w:tcPr>
            <w:tcW w:w="4675" w:type="dxa"/>
            <w:vAlign w:val="bottom"/>
          </w:tcPr>
          <w:p w14:paraId="0B2428A9" w14:textId="77777777" w:rsidR="009F041C" w:rsidRDefault="009F041C" w:rsidP="00CA7640">
            <w:pPr>
              <w:rPr>
                <w:rFonts w:ascii="Calibri" w:eastAsia="Times New Roman" w:hAnsi="Calibri" w:cs="Times New Roman"/>
                <w:color w:val="000000"/>
                <w:sz w:val="22"/>
              </w:rPr>
            </w:pPr>
            <w:r>
              <w:rPr>
                <w:rFonts w:ascii="Calibri" w:eastAsia="Times New Roman" w:hAnsi="Calibri" w:cs="Times New Roman"/>
                <w:color w:val="000000"/>
                <w:sz w:val="22"/>
              </w:rPr>
              <w:t>Unnecessary Institutionalization</w:t>
            </w:r>
          </w:p>
        </w:tc>
        <w:tc>
          <w:tcPr>
            <w:tcW w:w="1500" w:type="dxa"/>
            <w:vAlign w:val="bottom"/>
          </w:tcPr>
          <w:p w14:paraId="053888F4" w14:textId="77777777" w:rsidR="009F041C" w:rsidRDefault="009F041C" w:rsidP="00CA7640">
            <w:pPr>
              <w:jc w:val="right"/>
              <w:rPr>
                <w:rFonts w:ascii="Calibri" w:eastAsia="Times New Roman" w:hAnsi="Calibri" w:cs="Times New Roman"/>
                <w:color w:val="000000"/>
                <w:sz w:val="22"/>
              </w:rPr>
            </w:pPr>
            <w:r>
              <w:rPr>
                <w:rFonts w:ascii="Calibri" w:eastAsia="Times New Roman" w:hAnsi="Calibri" w:cs="Times New Roman"/>
                <w:color w:val="000000"/>
                <w:sz w:val="22"/>
              </w:rPr>
              <w:t>2</w:t>
            </w:r>
          </w:p>
        </w:tc>
      </w:tr>
    </w:tbl>
    <w:p w14:paraId="1C5DAF9B" w14:textId="77777777" w:rsidR="009F041C" w:rsidRDefault="009F041C" w:rsidP="009F041C">
      <w:pPr>
        <w:rPr>
          <w:b/>
        </w:rPr>
      </w:pPr>
      <w:r>
        <w:rPr>
          <w:b/>
        </w:rPr>
        <w:t>Total DRM cases 8/1/2015-7/31/2016</w:t>
      </w:r>
    </w:p>
    <w:tbl>
      <w:tblPr>
        <w:tblW w:w="9080" w:type="dxa"/>
        <w:tblLook w:val="04A0" w:firstRow="1" w:lastRow="0" w:firstColumn="1" w:lastColumn="0" w:noHBand="0" w:noVBand="1"/>
      </w:tblPr>
      <w:tblGrid>
        <w:gridCol w:w="8100"/>
        <w:gridCol w:w="980"/>
      </w:tblGrid>
      <w:tr w:rsidR="009F041C" w:rsidRPr="000205EB" w14:paraId="1EA757D9" w14:textId="77777777" w:rsidTr="00CA7640">
        <w:trPr>
          <w:trHeight w:val="288"/>
        </w:trPr>
        <w:tc>
          <w:tcPr>
            <w:tcW w:w="8100" w:type="dxa"/>
            <w:tcBorders>
              <w:top w:val="nil"/>
              <w:left w:val="nil"/>
              <w:bottom w:val="nil"/>
              <w:right w:val="nil"/>
            </w:tcBorders>
            <w:shd w:val="clear" w:color="auto" w:fill="auto"/>
            <w:vAlign w:val="bottom"/>
            <w:hideMark/>
          </w:tcPr>
          <w:p w14:paraId="51267DF0"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Abuse</w:t>
            </w:r>
          </w:p>
        </w:tc>
        <w:tc>
          <w:tcPr>
            <w:tcW w:w="980" w:type="dxa"/>
            <w:tcBorders>
              <w:top w:val="nil"/>
              <w:left w:val="nil"/>
              <w:bottom w:val="nil"/>
              <w:right w:val="nil"/>
            </w:tcBorders>
            <w:shd w:val="clear" w:color="auto" w:fill="auto"/>
            <w:noWrap/>
            <w:vAlign w:val="bottom"/>
            <w:hideMark/>
          </w:tcPr>
          <w:p w14:paraId="4CBA359B"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8</w:t>
            </w:r>
          </w:p>
        </w:tc>
      </w:tr>
      <w:tr w:rsidR="009F041C" w:rsidRPr="000205EB" w14:paraId="1704DCA5" w14:textId="77777777" w:rsidTr="00CA7640">
        <w:trPr>
          <w:trHeight w:val="288"/>
        </w:trPr>
        <w:tc>
          <w:tcPr>
            <w:tcW w:w="8100" w:type="dxa"/>
            <w:tcBorders>
              <w:top w:val="nil"/>
              <w:left w:val="nil"/>
              <w:bottom w:val="nil"/>
              <w:right w:val="nil"/>
            </w:tcBorders>
            <w:shd w:val="clear" w:color="auto" w:fill="auto"/>
            <w:vAlign w:val="bottom"/>
            <w:hideMark/>
          </w:tcPr>
          <w:p w14:paraId="14E1DFD3"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Custody/Parental Rights</w:t>
            </w:r>
          </w:p>
        </w:tc>
        <w:tc>
          <w:tcPr>
            <w:tcW w:w="980" w:type="dxa"/>
            <w:tcBorders>
              <w:top w:val="nil"/>
              <w:left w:val="nil"/>
              <w:bottom w:val="nil"/>
              <w:right w:val="nil"/>
            </w:tcBorders>
            <w:shd w:val="clear" w:color="auto" w:fill="auto"/>
            <w:noWrap/>
            <w:vAlign w:val="bottom"/>
            <w:hideMark/>
          </w:tcPr>
          <w:p w14:paraId="385459C6"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2</w:t>
            </w:r>
          </w:p>
        </w:tc>
      </w:tr>
      <w:tr w:rsidR="009F041C" w:rsidRPr="000205EB" w14:paraId="73023E84" w14:textId="77777777" w:rsidTr="00CA7640">
        <w:trPr>
          <w:trHeight w:val="288"/>
        </w:trPr>
        <w:tc>
          <w:tcPr>
            <w:tcW w:w="8100" w:type="dxa"/>
            <w:tcBorders>
              <w:top w:val="nil"/>
              <w:left w:val="nil"/>
              <w:bottom w:val="nil"/>
              <w:right w:val="nil"/>
            </w:tcBorders>
            <w:shd w:val="clear" w:color="auto" w:fill="auto"/>
            <w:vAlign w:val="bottom"/>
            <w:hideMark/>
          </w:tcPr>
          <w:p w14:paraId="30916602"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Education</w:t>
            </w:r>
          </w:p>
        </w:tc>
        <w:tc>
          <w:tcPr>
            <w:tcW w:w="980" w:type="dxa"/>
            <w:tcBorders>
              <w:top w:val="nil"/>
              <w:left w:val="nil"/>
              <w:bottom w:val="nil"/>
              <w:right w:val="nil"/>
            </w:tcBorders>
            <w:shd w:val="clear" w:color="auto" w:fill="auto"/>
            <w:noWrap/>
            <w:vAlign w:val="bottom"/>
            <w:hideMark/>
          </w:tcPr>
          <w:p w14:paraId="550319D1"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26</w:t>
            </w:r>
          </w:p>
        </w:tc>
      </w:tr>
      <w:tr w:rsidR="009F041C" w:rsidRPr="000205EB" w14:paraId="066C3959" w14:textId="77777777" w:rsidTr="00CA7640">
        <w:trPr>
          <w:trHeight w:val="288"/>
        </w:trPr>
        <w:tc>
          <w:tcPr>
            <w:tcW w:w="8100" w:type="dxa"/>
            <w:tcBorders>
              <w:top w:val="nil"/>
              <w:left w:val="nil"/>
              <w:bottom w:val="nil"/>
              <w:right w:val="nil"/>
            </w:tcBorders>
            <w:shd w:val="clear" w:color="auto" w:fill="auto"/>
            <w:vAlign w:val="bottom"/>
            <w:hideMark/>
          </w:tcPr>
          <w:p w14:paraId="382534C1"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Employment Preparation</w:t>
            </w:r>
          </w:p>
        </w:tc>
        <w:tc>
          <w:tcPr>
            <w:tcW w:w="980" w:type="dxa"/>
            <w:tcBorders>
              <w:top w:val="nil"/>
              <w:left w:val="nil"/>
              <w:bottom w:val="nil"/>
              <w:right w:val="nil"/>
            </w:tcBorders>
            <w:shd w:val="clear" w:color="auto" w:fill="auto"/>
            <w:noWrap/>
            <w:vAlign w:val="bottom"/>
            <w:hideMark/>
          </w:tcPr>
          <w:p w14:paraId="0665B20C"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2</w:t>
            </w:r>
          </w:p>
        </w:tc>
      </w:tr>
      <w:tr w:rsidR="009F041C" w:rsidRPr="000205EB" w14:paraId="251016C1" w14:textId="77777777" w:rsidTr="00CA7640">
        <w:trPr>
          <w:trHeight w:val="288"/>
        </w:trPr>
        <w:tc>
          <w:tcPr>
            <w:tcW w:w="8100" w:type="dxa"/>
            <w:tcBorders>
              <w:top w:val="nil"/>
              <w:left w:val="nil"/>
              <w:bottom w:val="nil"/>
              <w:right w:val="nil"/>
            </w:tcBorders>
            <w:shd w:val="clear" w:color="auto" w:fill="auto"/>
            <w:vAlign w:val="bottom"/>
            <w:hideMark/>
          </w:tcPr>
          <w:p w14:paraId="00E0CDA6"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Government Benefits/Services</w:t>
            </w:r>
          </w:p>
        </w:tc>
        <w:tc>
          <w:tcPr>
            <w:tcW w:w="980" w:type="dxa"/>
            <w:tcBorders>
              <w:top w:val="nil"/>
              <w:left w:val="nil"/>
              <w:bottom w:val="nil"/>
              <w:right w:val="nil"/>
            </w:tcBorders>
            <w:shd w:val="clear" w:color="auto" w:fill="auto"/>
            <w:noWrap/>
            <w:vAlign w:val="bottom"/>
            <w:hideMark/>
          </w:tcPr>
          <w:p w14:paraId="4B3E0344"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72</w:t>
            </w:r>
          </w:p>
        </w:tc>
      </w:tr>
      <w:tr w:rsidR="009F041C" w:rsidRPr="000205EB" w14:paraId="606BA789" w14:textId="77777777" w:rsidTr="00CA7640">
        <w:trPr>
          <w:trHeight w:val="288"/>
        </w:trPr>
        <w:tc>
          <w:tcPr>
            <w:tcW w:w="8100" w:type="dxa"/>
            <w:tcBorders>
              <w:top w:val="nil"/>
              <w:left w:val="nil"/>
              <w:bottom w:val="nil"/>
              <w:right w:val="nil"/>
            </w:tcBorders>
            <w:shd w:val="clear" w:color="auto" w:fill="auto"/>
            <w:vAlign w:val="bottom"/>
            <w:hideMark/>
          </w:tcPr>
          <w:p w14:paraId="7545C141"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Guardianship/Conservatorship</w:t>
            </w:r>
          </w:p>
        </w:tc>
        <w:tc>
          <w:tcPr>
            <w:tcW w:w="980" w:type="dxa"/>
            <w:tcBorders>
              <w:top w:val="nil"/>
              <w:left w:val="nil"/>
              <w:bottom w:val="nil"/>
              <w:right w:val="nil"/>
            </w:tcBorders>
            <w:shd w:val="clear" w:color="auto" w:fill="auto"/>
            <w:noWrap/>
            <w:vAlign w:val="bottom"/>
            <w:hideMark/>
          </w:tcPr>
          <w:p w14:paraId="1013BDF9"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5</w:t>
            </w:r>
          </w:p>
        </w:tc>
      </w:tr>
      <w:tr w:rsidR="009F041C" w:rsidRPr="000205EB" w14:paraId="26E8C5AC" w14:textId="77777777" w:rsidTr="00CA7640">
        <w:trPr>
          <w:trHeight w:val="288"/>
        </w:trPr>
        <w:tc>
          <w:tcPr>
            <w:tcW w:w="8100" w:type="dxa"/>
            <w:tcBorders>
              <w:top w:val="nil"/>
              <w:left w:val="nil"/>
              <w:bottom w:val="nil"/>
              <w:right w:val="nil"/>
            </w:tcBorders>
            <w:shd w:val="clear" w:color="auto" w:fill="auto"/>
            <w:vAlign w:val="bottom"/>
            <w:hideMark/>
          </w:tcPr>
          <w:p w14:paraId="1D0727CF"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Healthcare</w:t>
            </w:r>
          </w:p>
        </w:tc>
        <w:tc>
          <w:tcPr>
            <w:tcW w:w="980" w:type="dxa"/>
            <w:tcBorders>
              <w:top w:val="nil"/>
              <w:left w:val="nil"/>
              <w:bottom w:val="nil"/>
              <w:right w:val="nil"/>
            </w:tcBorders>
            <w:shd w:val="clear" w:color="auto" w:fill="auto"/>
            <w:noWrap/>
            <w:vAlign w:val="bottom"/>
            <w:hideMark/>
          </w:tcPr>
          <w:p w14:paraId="368EFF66"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29</w:t>
            </w:r>
          </w:p>
        </w:tc>
      </w:tr>
      <w:tr w:rsidR="009F041C" w:rsidRPr="000205EB" w14:paraId="412E1077" w14:textId="77777777" w:rsidTr="00CA7640">
        <w:trPr>
          <w:trHeight w:val="288"/>
        </w:trPr>
        <w:tc>
          <w:tcPr>
            <w:tcW w:w="8100" w:type="dxa"/>
            <w:tcBorders>
              <w:top w:val="nil"/>
              <w:left w:val="nil"/>
              <w:bottom w:val="nil"/>
              <w:right w:val="nil"/>
            </w:tcBorders>
            <w:shd w:val="clear" w:color="auto" w:fill="auto"/>
            <w:vAlign w:val="bottom"/>
            <w:hideMark/>
          </w:tcPr>
          <w:p w14:paraId="4AF41440"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 xml:space="preserve">Home &amp; Community Based Services </w:t>
            </w:r>
            <w:proofErr w:type="spellStart"/>
            <w:r w:rsidRPr="000205EB">
              <w:rPr>
                <w:rFonts w:ascii="Calibri" w:eastAsia="Times New Roman" w:hAnsi="Calibri"/>
                <w:color w:val="000000"/>
                <w:sz w:val="22"/>
              </w:rPr>
              <w:t>inc</w:t>
            </w:r>
            <w:proofErr w:type="spellEnd"/>
            <w:r w:rsidRPr="000205EB">
              <w:rPr>
                <w:rFonts w:ascii="Calibri" w:eastAsia="Times New Roman" w:hAnsi="Calibri"/>
                <w:color w:val="000000"/>
                <w:sz w:val="22"/>
              </w:rPr>
              <w:t xml:space="preserve"> Discharge Planning Transition Follow-up</w:t>
            </w:r>
          </w:p>
        </w:tc>
        <w:tc>
          <w:tcPr>
            <w:tcW w:w="980" w:type="dxa"/>
            <w:tcBorders>
              <w:top w:val="nil"/>
              <w:left w:val="nil"/>
              <w:bottom w:val="nil"/>
              <w:right w:val="nil"/>
            </w:tcBorders>
            <w:shd w:val="clear" w:color="auto" w:fill="auto"/>
            <w:noWrap/>
            <w:vAlign w:val="bottom"/>
            <w:hideMark/>
          </w:tcPr>
          <w:p w14:paraId="10B9C101"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32</w:t>
            </w:r>
          </w:p>
        </w:tc>
      </w:tr>
      <w:tr w:rsidR="009F041C" w:rsidRPr="000205EB" w14:paraId="74132B25" w14:textId="77777777" w:rsidTr="00CA7640">
        <w:trPr>
          <w:trHeight w:val="288"/>
        </w:trPr>
        <w:tc>
          <w:tcPr>
            <w:tcW w:w="8100" w:type="dxa"/>
            <w:tcBorders>
              <w:top w:val="nil"/>
              <w:left w:val="nil"/>
              <w:bottom w:val="nil"/>
              <w:right w:val="nil"/>
            </w:tcBorders>
            <w:shd w:val="clear" w:color="auto" w:fill="auto"/>
            <w:vAlign w:val="bottom"/>
            <w:hideMark/>
          </w:tcPr>
          <w:p w14:paraId="1F3A7B8D"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Housing</w:t>
            </w:r>
          </w:p>
        </w:tc>
        <w:tc>
          <w:tcPr>
            <w:tcW w:w="980" w:type="dxa"/>
            <w:tcBorders>
              <w:top w:val="nil"/>
              <w:left w:val="nil"/>
              <w:bottom w:val="nil"/>
              <w:right w:val="nil"/>
            </w:tcBorders>
            <w:shd w:val="clear" w:color="auto" w:fill="auto"/>
            <w:noWrap/>
            <w:vAlign w:val="bottom"/>
            <w:hideMark/>
          </w:tcPr>
          <w:p w14:paraId="21A28D4B"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18</w:t>
            </w:r>
          </w:p>
        </w:tc>
      </w:tr>
      <w:tr w:rsidR="009F041C" w:rsidRPr="000205EB" w14:paraId="614D67EF" w14:textId="77777777" w:rsidTr="00CA7640">
        <w:trPr>
          <w:trHeight w:val="288"/>
        </w:trPr>
        <w:tc>
          <w:tcPr>
            <w:tcW w:w="8100" w:type="dxa"/>
            <w:tcBorders>
              <w:top w:val="nil"/>
              <w:left w:val="nil"/>
              <w:bottom w:val="nil"/>
              <w:right w:val="nil"/>
            </w:tcBorders>
            <w:shd w:val="clear" w:color="auto" w:fill="auto"/>
            <w:vAlign w:val="bottom"/>
            <w:hideMark/>
          </w:tcPr>
          <w:p w14:paraId="1E6B0D6D"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Neglect</w:t>
            </w:r>
          </w:p>
        </w:tc>
        <w:tc>
          <w:tcPr>
            <w:tcW w:w="980" w:type="dxa"/>
            <w:tcBorders>
              <w:top w:val="nil"/>
              <w:left w:val="nil"/>
              <w:bottom w:val="nil"/>
              <w:right w:val="nil"/>
            </w:tcBorders>
            <w:shd w:val="clear" w:color="auto" w:fill="auto"/>
            <w:noWrap/>
            <w:vAlign w:val="bottom"/>
            <w:hideMark/>
          </w:tcPr>
          <w:p w14:paraId="0BEEC021"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4</w:t>
            </w:r>
          </w:p>
        </w:tc>
      </w:tr>
      <w:tr w:rsidR="009F041C" w:rsidRPr="000205EB" w14:paraId="55E085C4" w14:textId="77777777" w:rsidTr="00CA7640">
        <w:trPr>
          <w:trHeight w:val="288"/>
        </w:trPr>
        <w:tc>
          <w:tcPr>
            <w:tcW w:w="8100" w:type="dxa"/>
            <w:tcBorders>
              <w:top w:val="nil"/>
              <w:left w:val="nil"/>
              <w:bottom w:val="nil"/>
              <w:right w:val="nil"/>
            </w:tcBorders>
            <w:shd w:val="clear" w:color="auto" w:fill="auto"/>
            <w:vAlign w:val="bottom"/>
            <w:hideMark/>
          </w:tcPr>
          <w:p w14:paraId="719933A2"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Non-Government Services</w:t>
            </w:r>
          </w:p>
        </w:tc>
        <w:tc>
          <w:tcPr>
            <w:tcW w:w="980" w:type="dxa"/>
            <w:tcBorders>
              <w:top w:val="nil"/>
              <w:left w:val="nil"/>
              <w:bottom w:val="nil"/>
              <w:right w:val="nil"/>
            </w:tcBorders>
            <w:shd w:val="clear" w:color="auto" w:fill="auto"/>
            <w:noWrap/>
            <w:vAlign w:val="bottom"/>
            <w:hideMark/>
          </w:tcPr>
          <w:p w14:paraId="1D5EB8B4"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7DEB065E" w14:textId="77777777" w:rsidTr="00CA7640">
        <w:trPr>
          <w:trHeight w:val="288"/>
        </w:trPr>
        <w:tc>
          <w:tcPr>
            <w:tcW w:w="8100" w:type="dxa"/>
            <w:tcBorders>
              <w:top w:val="nil"/>
              <w:left w:val="nil"/>
              <w:bottom w:val="nil"/>
              <w:right w:val="nil"/>
            </w:tcBorders>
            <w:shd w:val="clear" w:color="auto" w:fill="auto"/>
            <w:vAlign w:val="bottom"/>
            <w:hideMark/>
          </w:tcPr>
          <w:p w14:paraId="217888C5"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Program Access</w:t>
            </w:r>
          </w:p>
        </w:tc>
        <w:tc>
          <w:tcPr>
            <w:tcW w:w="980" w:type="dxa"/>
            <w:tcBorders>
              <w:top w:val="nil"/>
              <w:left w:val="nil"/>
              <w:bottom w:val="nil"/>
              <w:right w:val="nil"/>
            </w:tcBorders>
            <w:shd w:val="clear" w:color="auto" w:fill="auto"/>
            <w:noWrap/>
            <w:vAlign w:val="bottom"/>
            <w:hideMark/>
          </w:tcPr>
          <w:p w14:paraId="2823BBDE"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2F0643A7" w14:textId="77777777" w:rsidTr="00CA7640">
        <w:trPr>
          <w:trHeight w:val="288"/>
        </w:trPr>
        <w:tc>
          <w:tcPr>
            <w:tcW w:w="8100" w:type="dxa"/>
            <w:tcBorders>
              <w:top w:val="nil"/>
              <w:left w:val="nil"/>
              <w:bottom w:val="nil"/>
              <w:right w:val="nil"/>
            </w:tcBorders>
            <w:shd w:val="clear" w:color="auto" w:fill="auto"/>
            <w:vAlign w:val="bottom"/>
            <w:hideMark/>
          </w:tcPr>
          <w:p w14:paraId="3C60325E"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Quality Assurance including abuse, neglect &amp; other violations of rights</w:t>
            </w:r>
          </w:p>
        </w:tc>
        <w:tc>
          <w:tcPr>
            <w:tcW w:w="980" w:type="dxa"/>
            <w:tcBorders>
              <w:top w:val="nil"/>
              <w:left w:val="nil"/>
              <w:bottom w:val="nil"/>
              <w:right w:val="nil"/>
            </w:tcBorders>
            <w:shd w:val="clear" w:color="auto" w:fill="auto"/>
            <w:noWrap/>
            <w:vAlign w:val="bottom"/>
            <w:hideMark/>
          </w:tcPr>
          <w:p w14:paraId="5179217B"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17</w:t>
            </w:r>
          </w:p>
        </w:tc>
      </w:tr>
      <w:tr w:rsidR="009F041C" w:rsidRPr="000205EB" w14:paraId="6A9B7225" w14:textId="77777777" w:rsidTr="00CA7640">
        <w:trPr>
          <w:trHeight w:val="288"/>
        </w:trPr>
        <w:tc>
          <w:tcPr>
            <w:tcW w:w="8100" w:type="dxa"/>
            <w:tcBorders>
              <w:top w:val="nil"/>
              <w:left w:val="nil"/>
              <w:bottom w:val="nil"/>
              <w:right w:val="nil"/>
            </w:tcBorders>
            <w:shd w:val="clear" w:color="auto" w:fill="auto"/>
            <w:vAlign w:val="bottom"/>
            <w:hideMark/>
          </w:tcPr>
          <w:p w14:paraId="1E5E1A96"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Recreation</w:t>
            </w:r>
          </w:p>
        </w:tc>
        <w:tc>
          <w:tcPr>
            <w:tcW w:w="980" w:type="dxa"/>
            <w:tcBorders>
              <w:top w:val="nil"/>
              <w:left w:val="nil"/>
              <w:bottom w:val="nil"/>
              <w:right w:val="nil"/>
            </w:tcBorders>
            <w:shd w:val="clear" w:color="auto" w:fill="auto"/>
            <w:noWrap/>
            <w:vAlign w:val="bottom"/>
            <w:hideMark/>
          </w:tcPr>
          <w:p w14:paraId="1B2EB9D2"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3D83EE78" w14:textId="77777777" w:rsidTr="00CA7640">
        <w:trPr>
          <w:trHeight w:val="288"/>
        </w:trPr>
        <w:tc>
          <w:tcPr>
            <w:tcW w:w="8100" w:type="dxa"/>
            <w:tcBorders>
              <w:top w:val="nil"/>
              <w:left w:val="nil"/>
              <w:bottom w:val="nil"/>
              <w:right w:val="nil"/>
            </w:tcBorders>
            <w:shd w:val="clear" w:color="auto" w:fill="auto"/>
            <w:vAlign w:val="bottom"/>
            <w:hideMark/>
          </w:tcPr>
          <w:p w14:paraId="6876F2DF"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Rehabilitation Services</w:t>
            </w:r>
          </w:p>
        </w:tc>
        <w:tc>
          <w:tcPr>
            <w:tcW w:w="980" w:type="dxa"/>
            <w:tcBorders>
              <w:top w:val="nil"/>
              <w:left w:val="nil"/>
              <w:bottom w:val="nil"/>
              <w:right w:val="nil"/>
            </w:tcBorders>
            <w:shd w:val="clear" w:color="auto" w:fill="auto"/>
            <w:noWrap/>
            <w:vAlign w:val="bottom"/>
            <w:hideMark/>
          </w:tcPr>
          <w:p w14:paraId="36503166"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5440DF38" w14:textId="77777777" w:rsidTr="00CA7640">
        <w:trPr>
          <w:trHeight w:val="288"/>
        </w:trPr>
        <w:tc>
          <w:tcPr>
            <w:tcW w:w="8100" w:type="dxa"/>
            <w:tcBorders>
              <w:top w:val="nil"/>
              <w:left w:val="nil"/>
              <w:bottom w:val="nil"/>
              <w:right w:val="nil"/>
            </w:tcBorders>
            <w:shd w:val="clear" w:color="auto" w:fill="auto"/>
            <w:vAlign w:val="bottom"/>
            <w:hideMark/>
          </w:tcPr>
          <w:p w14:paraId="09605853"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Rights Violations</w:t>
            </w:r>
          </w:p>
        </w:tc>
        <w:tc>
          <w:tcPr>
            <w:tcW w:w="980" w:type="dxa"/>
            <w:tcBorders>
              <w:top w:val="nil"/>
              <w:left w:val="nil"/>
              <w:bottom w:val="nil"/>
              <w:right w:val="nil"/>
            </w:tcBorders>
            <w:shd w:val="clear" w:color="auto" w:fill="auto"/>
            <w:noWrap/>
            <w:vAlign w:val="bottom"/>
            <w:hideMark/>
          </w:tcPr>
          <w:p w14:paraId="50291CC0"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5C0E42AC" w14:textId="77777777" w:rsidTr="00CA7640">
        <w:trPr>
          <w:trHeight w:val="288"/>
        </w:trPr>
        <w:tc>
          <w:tcPr>
            <w:tcW w:w="8100" w:type="dxa"/>
            <w:tcBorders>
              <w:top w:val="nil"/>
              <w:left w:val="nil"/>
              <w:bottom w:val="nil"/>
              <w:right w:val="nil"/>
            </w:tcBorders>
            <w:shd w:val="clear" w:color="auto" w:fill="auto"/>
            <w:vAlign w:val="bottom"/>
            <w:hideMark/>
          </w:tcPr>
          <w:p w14:paraId="57C04FA5"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Services</w:t>
            </w:r>
          </w:p>
        </w:tc>
        <w:tc>
          <w:tcPr>
            <w:tcW w:w="980" w:type="dxa"/>
            <w:tcBorders>
              <w:top w:val="nil"/>
              <w:left w:val="nil"/>
              <w:bottom w:val="nil"/>
              <w:right w:val="nil"/>
            </w:tcBorders>
            <w:shd w:val="clear" w:color="auto" w:fill="auto"/>
            <w:noWrap/>
            <w:vAlign w:val="bottom"/>
            <w:hideMark/>
          </w:tcPr>
          <w:p w14:paraId="07BC40CA"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3</w:t>
            </w:r>
          </w:p>
        </w:tc>
      </w:tr>
      <w:tr w:rsidR="009F041C" w:rsidRPr="000205EB" w14:paraId="1C414276" w14:textId="77777777" w:rsidTr="00CA7640">
        <w:trPr>
          <w:trHeight w:val="288"/>
        </w:trPr>
        <w:tc>
          <w:tcPr>
            <w:tcW w:w="8100" w:type="dxa"/>
            <w:tcBorders>
              <w:top w:val="nil"/>
              <w:left w:val="nil"/>
              <w:bottom w:val="nil"/>
              <w:right w:val="nil"/>
            </w:tcBorders>
            <w:shd w:val="clear" w:color="auto" w:fill="auto"/>
            <w:vAlign w:val="bottom"/>
            <w:hideMark/>
          </w:tcPr>
          <w:p w14:paraId="2A20B0A7"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Transportation</w:t>
            </w:r>
          </w:p>
        </w:tc>
        <w:tc>
          <w:tcPr>
            <w:tcW w:w="980" w:type="dxa"/>
            <w:tcBorders>
              <w:top w:val="nil"/>
              <w:left w:val="nil"/>
              <w:bottom w:val="nil"/>
              <w:right w:val="nil"/>
            </w:tcBorders>
            <w:shd w:val="clear" w:color="auto" w:fill="auto"/>
            <w:noWrap/>
            <w:vAlign w:val="bottom"/>
            <w:hideMark/>
          </w:tcPr>
          <w:p w14:paraId="4325CD49"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w:t>
            </w:r>
          </w:p>
        </w:tc>
      </w:tr>
      <w:tr w:rsidR="009F041C" w:rsidRPr="000205EB" w14:paraId="0D53A9F8" w14:textId="77777777" w:rsidTr="00CA7640">
        <w:trPr>
          <w:trHeight w:val="288"/>
        </w:trPr>
        <w:tc>
          <w:tcPr>
            <w:tcW w:w="8100" w:type="dxa"/>
            <w:tcBorders>
              <w:top w:val="nil"/>
              <w:left w:val="nil"/>
              <w:bottom w:val="nil"/>
              <w:right w:val="nil"/>
            </w:tcBorders>
            <w:shd w:val="clear" w:color="auto" w:fill="auto"/>
            <w:vAlign w:val="bottom"/>
            <w:hideMark/>
          </w:tcPr>
          <w:p w14:paraId="0E9F73A6" w14:textId="77777777" w:rsidR="009F041C" w:rsidRPr="000205EB" w:rsidRDefault="009F041C" w:rsidP="00CA7640">
            <w:pPr>
              <w:rPr>
                <w:rFonts w:ascii="Calibri" w:eastAsia="Times New Roman" w:hAnsi="Calibri"/>
                <w:color w:val="000000"/>
                <w:sz w:val="22"/>
              </w:rPr>
            </w:pPr>
            <w:r w:rsidRPr="000205EB">
              <w:rPr>
                <w:rFonts w:ascii="Calibri" w:eastAsia="Times New Roman" w:hAnsi="Calibri"/>
                <w:color w:val="000000"/>
                <w:sz w:val="22"/>
              </w:rPr>
              <w:t>Unnecessary Institutionalization</w:t>
            </w:r>
          </w:p>
        </w:tc>
        <w:tc>
          <w:tcPr>
            <w:tcW w:w="980" w:type="dxa"/>
            <w:tcBorders>
              <w:top w:val="nil"/>
              <w:left w:val="nil"/>
              <w:bottom w:val="nil"/>
              <w:right w:val="nil"/>
            </w:tcBorders>
            <w:shd w:val="clear" w:color="auto" w:fill="auto"/>
            <w:noWrap/>
            <w:vAlign w:val="bottom"/>
            <w:hideMark/>
          </w:tcPr>
          <w:p w14:paraId="1624656C"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10</w:t>
            </w:r>
          </w:p>
        </w:tc>
      </w:tr>
      <w:tr w:rsidR="009F041C" w:rsidRPr="000205EB" w14:paraId="7EC05A5F" w14:textId="77777777" w:rsidTr="00CA7640">
        <w:trPr>
          <w:trHeight w:val="288"/>
        </w:trPr>
        <w:tc>
          <w:tcPr>
            <w:tcW w:w="8100" w:type="dxa"/>
            <w:tcBorders>
              <w:top w:val="nil"/>
              <w:left w:val="nil"/>
              <w:bottom w:val="nil"/>
              <w:right w:val="nil"/>
            </w:tcBorders>
            <w:shd w:val="clear" w:color="auto" w:fill="auto"/>
            <w:noWrap/>
            <w:vAlign w:val="bottom"/>
            <w:hideMark/>
          </w:tcPr>
          <w:p w14:paraId="5DAC3861" w14:textId="77777777" w:rsidR="009F041C" w:rsidRPr="000205EB" w:rsidRDefault="009F041C" w:rsidP="00CA7640">
            <w:pPr>
              <w:jc w:val="right"/>
              <w:rPr>
                <w:rFonts w:ascii="Calibri" w:eastAsia="Times New Roman" w:hAnsi="Calibri"/>
                <w:color w:val="000000"/>
                <w:sz w:val="22"/>
              </w:rPr>
            </w:pPr>
            <w:r>
              <w:rPr>
                <w:rFonts w:ascii="Calibri" w:eastAsia="Times New Roman" w:hAnsi="Calibri"/>
                <w:color w:val="000000"/>
                <w:sz w:val="22"/>
              </w:rPr>
              <w:t>Total</w:t>
            </w:r>
          </w:p>
        </w:tc>
        <w:tc>
          <w:tcPr>
            <w:tcW w:w="980" w:type="dxa"/>
            <w:tcBorders>
              <w:top w:val="nil"/>
              <w:left w:val="nil"/>
              <w:bottom w:val="nil"/>
              <w:right w:val="nil"/>
            </w:tcBorders>
            <w:shd w:val="clear" w:color="auto" w:fill="auto"/>
            <w:noWrap/>
            <w:vAlign w:val="bottom"/>
            <w:hideMark/>
          </w:tcPr>
          <w:p w14:paraId="32FBBE4D" w14:textId="77777777" w:rsidR="009F041C" w:rsidRPr="000205EB" w:rsidRDefault="009F041C" w:rsidP="00CA7640">
            <w:pPr>
              <w:jc w:val="right"/>
              <w:rPr>
                <w:rFonts w:ascii="Calibri" w:eastAsia="Times New Roman" w:hAnsi="Calibri"/>
                <w:color w:val="000000"/>
                <w:sz w:val="22"/>
              </w:rPr>
            </w:pPr>
            <w:r w:rsidRPr="000205EB">
              <w:rPr>
                <w:rFonts w:ascii="Calibri" w:eastAsia="Times New Roman" w:hAnsi="Calibri"/>
                <w:color w:val="000000"/>
                <w:sz w:val="22"/>
              </w:rPr>
              <w:t>234</w:t>
            </w:r>
          </w:p>
        </w:tc>
      </w:tr>
    </w:tbl>
    <w:p w14:paraId="3457FCE0" w14:textId="77777777" w:rsidR="009F041C" w:rsidRPr="004A37FD" w:rsidRDefault="009F041C" w:rsidP="009F041C">
      <w:pPr>
        <w:rPr>
          <w:b/>
        </w:rPr>
      </w:pPr>
    </w:p>
    <w:p w14:paraId="5C39B358" w14:textId="52DC859B" w:rsidR="007C6637" w:rsidRPr="007C6637" w:rsidRDefault="007C6637" w:rsidP="007C6637">
      <w:pPr>
        <w:pStyle w:val="NormalWeb"/>
        <w:shd w:val="clear" w:color="auto" w:fill="FFFFFF"/>
        <w:spacing w:before="0" w:beforeAutospacing="0" w:after="0" w:afterAutospacing="0" w:line="276" w:lineRule="auto"/>
        <w:textAlignment w:val="baseline"/>
        <w:rPr>
          <w:rFonts w:ascii="Helvetica" w:hAnsi="Helvetica"/>
          <w:bdr w:val="none" w:sz="0" w:space="0" w:color="auto" w:frame="1"/>
        </w:rPr>
      </w:pPr>
    </w:p>
    <w:sectPr w:rsidR="007C6637" w:rsidRPr="007C6637" w:rsidSect="00F20F1F">
      <w:headerReference w:type="default" r:id="rId10"/>
      <w:footerReference w:type="even" r:id="rId11"/>
      <w:footerReference w:type="default" r:id="rId12"/>
      <w:headerReference w:type="first" r:id="rId1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4833" w14:textId="77777777" w:rsidR="002B5003" w:rsidRDefault="002B5003">
      <w:r>
        <w:separator/>
      </w:r>
    </w:p>
  </w:endnote>
  <w:endnote w:type="continuationSeparator" w:id="0">
    <w:p w14:paraId="49C4083E" w14:textId="77777777" w:rsidR="002B5003" w:rsidRDefault="002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Lucida Grande">
    <w:altName w:val="Arial"/>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4E029"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8D80A" w14:textId="77777777" w:rsidR="002B5003" w:rsidRDefault="002B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4748"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6F0">
      <w:rPr>
        <w:rStyle w:val="PageNumber"/>
        <w:noProof/>
      </w:rPr>
      <w:t>2</w:t>
    </w:r>
    <w:r>
      <w:rPr>
        <w:rStyle w:val="PageNumber"/>
      </w:rPr>
      <w:fldChar w:fldCharType="end"/>
    </w:r>
  </w:p>
  <w:p w14:paraId="2B837EAC" w14:textId="77777777" w:rsidR="002B5003" w:rsidRDefault="002B5003">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227D" w14:textId="77777777" w:rsidR="002B5003" w:rsidRDefault="002B5003">
      <w:r>
        <w:separator/>
      </w:r>
    </w:p>
  </w:footnote>
  <w:footnote w:type="continuationSeparator" w:id="0">
    <w:p w14:paraId="41CABA50" w14:textId="77777777" w:rsidR="002B5003" w:rsidRDefault="002B50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D0BA" w14:textId="6F84BFCD" w:rsidR="002B5003" w:rsidRDefault="002B5003">
    <w:pPr>
      <w:pStyle w:val="HeaderFooter"/>
      <w:tabs>
        <w:tab w:val="clear" w:pos="9020"/>
        <w:tab w:val="center" w:pos="4680"/>
        <w:tab w:val="right" w:pos="93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3884" w14:textId="33A29197" w:rsidR="007C6637" w:rsidRPr="001965EA" w:rsidRDefault="007C6637" w:rsidP="007C6637">
    <w:pPr>
      <w:rPr>
        <w:rFonts w:ascii="Arial" w:hAnsi="Arial" w:cs="Arial"/>
        <w:sz w:val="18"/>
        <w:szCs w:val="18"/>
      </w:rPr>
    </w:pPr>
    <w:r>
      <w:rPr>
        <w:rFonts w:ascii="Arial" w:hAnsi="Arial" w:cs="Arial"/>
        <w:sz w:val="18"/>
        <w:szCs w:val="18"/>
      </w:rPr>
      <w:t xml:space="preserve">                            </w:t>
    </w:r>
    <w:r w:rsidR="00E836F0">
      <w:rPr>
        <w:rFonts w:ascii="Arial" w:hAnsi="Arial" w:cs="Arial"/>
        <w:noProof/>
        <w:sz w:val="18"/>
        <w:szCs w:val="18"/>
      </w:rPr>
      <w:drawing>
        <wp:inline distT="0" distB="0" distL="0" distR="0" wp14:anchorId="3C85D004" wp14:editId="5671607C">
          <wp:extent cx="3797300" cy="12573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057" cy="1259206"/>
                  </a:xfrm>
                  <a:prstGeom prst="rect">
                    <a:avLst/>
                  </a:prstGeom>
                  <a:noFill/>
                  <a:ln>
                    <a:noFill/>
                  </a:ln>
                </pic:spPr>
              </pic:pic>
            </a:graphicData>
          </a:graphic>
        </wp:inline>
      </w:drawing>
    </w:r>
  </w:p>
  <w:p w14:paraId="6E766E0D" w14:textId="39D53D86" w:rsidR="002B5003" w:rsidRPr="007C6637" w:rsidRDefault="007C6637" w:rsidP="007C6637">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B5A"/>
    <w:multiLevelType w:val="hybridMultilevel"/>
    <w:tmpl w:val="CCAE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59"/>
    <w:rsid w:val="00040859"/>
    <w:rsid w:val="000A3A82"/>
    <w:rsid w:val="000B4251"/>
    <w:rsid w:val="000E053E"/>
    <w:rsid w:val="000F636A"/>
    <w:rsid w:val="00183CF2"/>
    <w:rsid w:val="0018711F"/>
    <w:rsid w:val="00196868"/>
    <w:rsid w:val="001B4192"/>
    <w:rsid w:val="002B5003"/>
    <w:rsid w:val="002D24A5"/>
    <w:rsid w:val="002E11BA"/>
    <w:rsid w:val="00317652"/>
    <w:rsid w:val="003B10C7"/>
    <w:rsid w:val="003B5C64"/>
    <w:rsid w:val="004255DC"/>
    <w:rsid w:val="00463A0A"/>
    <w:rsid w:val="005200DE"/>
    <w:rsid w:val="00547D32"/>
    <w:rsid w:val="005905E8"/>
    <w:rsid w:val="006A639F"/>
    <w:rsid w:val="006E7CA6"/>
    <w:rsid w:val="00776B0E"/>
    <w:rsid w:val="007C29CA"/>
    <w:rsid w:val="007C6637"/>
    <w:rsid w:val="007E65C8"/>
    <w:rsid w:val="007F04D2"/>
    <w:rsid w:val="008B3B02"/>
    <w:rsid w:val="00985F16"/>
    <w:rsid w:val="009E10B9"/>
    <w:rsid w:val="009F041C"/>
    <w:rsid w:val="00A20AD7"/>
    <w:rsid w:val="00A71913"/>
    <w:rsid w:val="00AA4EFC"/>
    <w:rsid w:val="00AA572C"/>
    <w:rsid w:val="00AD7023"/>
    <w:rsid w:val="00AE14BC"/>
    <w:rsid w:val="00B6333E"/>
    <w:rsid w:val="00BC5209"/>
    <w:rsid w:val="00BE51DF"/>
    <w:rsid w:val="00C939F8"/>
    <w:rsid w:val="00C948B5"/>
    <w:rsid w:val="00CA2CB1"/>
    <w:rsid w:val="00CA7BD2"/>
    <w:rsid w:val="00D40127"/>
    <w:rsid w:val="00D70CF3"/>
    <w:rsid w:val="00D870C8"/>
    <w:rsid w:val="00E37D6A"/>
    <w:rsid w:val="00E836F0"/>
    <w:rsid w:val="00F20F1F"/>
    <w:rsid w:val="00F731C0"/>
    <w:rsid w:val="00FA1F04"/>
    <w:rsid w:val="00FD4AC3"/>
    <w:rsid w:val="00F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table" w:styleId="TableGrid">
    <w:name w:val="Table Grid"/>
    <w:basedOn w:val="TableNormal"/>
    <w:uiPriority w:val="39"/>
    <w:rsid w:val="009F041C"/>
    <w:pPr>
      <w:pBdr>
        <w:top w:val="none" w:sz="0" w:space="0" w:color="auto"/>
        <w:left w:val="none" w:sz="0" w:space="0" w:color="auto"/>
        <w:bottom w:val="none" w:sz="0" w:space="0" w:color="auto"/>
        <w:right w:val="none" w:sz="0" w:space="0" w:color="auto"/>
        <w:between w:val="none" w:sz="0" w:space="0" w:color="auto"/>
        <w:bar w:val="none" w:sz="0" w:color="auto"/>
      </w:pBdr>
    </w:pPr>
    <w:rPr>
      <w:rFonts w:ascii="Calisto MT" w:eastAsiaTheme="minorHAnsi" w:hAnsi="Calisto MT" w:cstheme="minorBidi"/>
      <w:sz w:val="24"/>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table" w:styleId="TableGrid">
    <w:name w:val="Table Grid"/>
    <w:basedOn w:val="TableNormal"/>
    <w:uiPriority w:val="39"/>
    <w:rsid w:val="009F041C"/>
    <w:pPr>
      <w:pBdr>
        <w:top w:val="none" w:sz="0" w:space="0" w:color="auto"/>
        <w:left w:val="none" w:sz="0" w:space="0" w:color="auto"/>
        <w:bottom w:val="none" w:sz="0" w:space="0" w:color="auto"/>
        <w:right w:val="none" w:sz="0" w:space="0" w:color="auto"/>
        <w:between w:val="none" w:sz="0" w:space="0" w:color="auto"/>
        <w:bar w:val="none" w:sz="0" w:color="auto"/>
      </w:pBdr>
    </w:pPr>
    <w:rPr>
      <w:rFonts w:ascii="Calisto MT" w:eastAsiaTheme="minorHAnsi" w:hAnsi="Calisto MT" w:cstheme="minorBidi"/>
      <w:sz w:val="24"/>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DFAC-4500-D646-B1A9-2CDC26C3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3840</Words>
  <Characters>21889</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Marsh</dc:creator>
  <cp:lastModifiedBy>Virginia Knowlton</cp:lastModifiedBy>
  <cp:revision>3</cp:revision>
  <cp:lastPrinted>2016-07-18T00:28:00Z</cp:lastPrinted>
  <dcterms:created xsi:type="dcterms:W3CDTF">2016-09-12T03:18:00Z</dcterms:created>
  <dcterms:modified xsi:type="dcterms:W3CDTF">2016-09-12T03:27:00Z</dcterms:modified>
</cp:coreProperties>
</file>