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3EED" w14:textId="77777777" w:rsidR="00E67D0A" w:rsidRPr="00E67D0A" w:rsidRDefault="00E67D0A" w:rsidP="00F75E64">
      <w:pPr>
        <w:pStyle w:val="Title"/>
        <w:spacing w:after="480"/>
        <w:rPr>
          <w:rFonts w:ascii="Times New Roman" w:eastAsia="Times New Roman" w:hAnsi="Times New Roman" w:cs="Times New Roman"/>
          <w:color w:val="000000"/>
          <w:kern w:val="0"/>
          <w:sz w:val="24"/>
          <w:szCs w:val="24"/>
          <w:lang w:val="es-ES" w:bidi="en-US"/>
          <w14:ligatures w14:val="none"/>
        </w:rPr>
      </w:pPr>
      <w:bookmarkStart w:id="0" w:name="bookmark0"/>
      <w:r w:rsidRPr="00E67D0A">
        <w:rPr>
          <w:rFonts w:ascii="Times New Roman" w:hAnsi="Times New Roman" w:cs="Times New Roman"/>
          <w:sz w:val="24"/>
          <w:szCs w:val="24"/>
        </w:rPr>
        <w:t>AVISO</w:t>
      </w:r>
      <w:r w:rsidRPr="00E67D0A">
        <w:rPr>
          <w:rFonts w:ascii="Times New Roman" w:eastAsia="Times New Roman" w:hAnsi="Times New Roman" w:cs="Times New Roman"/>
          <w:color w:val="000000"/>
          <w:kern w:val="0"/>
          <w:sz w:val="24"/>
          <w:szCs w:val="24"/>
          <w:lang w:val="es-ES" w:bidi="en-US"/>
          <w14:ligatures w14:val="none"/>
        </w:rPr>
        <w:t xml:space="preserve"> DE ACUERDO DE LIQUIDACIÓN COLECTIVA PROPUESTO</w:t>
      </w:r>
      <w:bookmarkEnd w:id="0"/>
    </w:p>
    <w:p w14:paraId="15C4E60A"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b/>
          <w:bCs/>
          <w:color w:val="000000"/>
          <w:kern w:val="0"/>
          <w:sz w:val="24"/>
          <w:szCs w:val="24"/>
          <w:lang w:val="es-ES" w:bidi="en-US"/>
          <w14:ligatures w14:val="none"/>
        </w:rPr>
        <w:t xml:space="preserve">ATENCIÓN: TODAS LAS PERSONAS CON UNA DISCAPACIDAD DE MOVILIDAD: </w:t>
      </w:r>
      <w:r w:rsidRPr="00E67D0A">
        <w:rPr>
          <w:rFonts w:ascii="Times New Roman" w:eastAsia="Times New Roman" w:hAnsi="Times New Roman" w:cs="Times New Roman"/>
          <w:color w:val="000000"/>
          <w:kern w:val="0"/>
          <w:sz w:val="24"/>
          <w:szCs w:val="24"/>
          <w:lang w:val="es-ES" w:bidi="en-US"/>
          <w14:ligatures w14:val="none"/>
        </w:rPr>
        <w:t xml:space="preserve">Si ha usado, intentado usar, o si piensa que usará cualquiera de las aceras, cruces peatonales, bordillos, rampas de bordillos, pasarelas peatonales, derechos de paso peatonales, cruces subterráneos peatonales, cruces aéreos peatonales u otros senderos peatonales de la ciudad de Baltimore y ha tenido o tendrá dificultad para usarlos porque son demasiado empinados, angostos, están demasiado dañados o necesitan reparaciones, </w:t>
      </w:r>
      <w:r w:rsidRPr="00E67D0A">
        <w:rPr>
          <w:rFonts w:ascii="Times New Roman" w:eastAsia="Times New Roman" w:hAnsi="Times New Roman" w:cs="Times New Roman"/>
          <w:b/>
          <w:bCs/>
          <w:color w:val="000000"/>
          <w:kern w:val="0"/>
          <w:sz w:val="24"/>
          <w:szCs w:val="24"/>
          <w:lang w:val="es-ES" w:bidi="en-US"/>
          <w14:ligatures w14:val="none"/>
        </w:rPr>
        <w:t xml:space="preserve">es posible que usted sea un miembro del grupo de la liquidación propuesta en esta demanda. </w:t>
      </w:r>
      <w:r w:rsidRPr="00E67D0A">
        <w:rPr>
          <w:rFonts w:ascii="Times New Roman" w:eastAsia="Times New Roman" w:hAnsi="Times New Roman" w:cs="Times New Roman"/>
          <w:color w:val="000000"/>
          <w:kern w:val="0"/>
          <w:sz w:val="24"/>
          <w:szCs w:val="24"/>
          <w:lang w:val="es-ES" w:bidi="en-US"/>
          <w14:ligatures w14:val="none"/>
        </w:rPr>
        <w:t>Este es un aviso autorizado por el tribunal.</w:t>
      </w:r>
    </w:p>
    <w:p w14:paraId="3DB9BC3D" w14:textId="77777777" w:rsidR="00E67D0A" w:rsidRPr="00E67D0A" w:rsidRDefault="00E67D0A" w:rsidP="006D44EE">
      <w:pPr>
        <w:keepNext/>
        <w:keepLines/>
        <w:widowControl w:val="0"/>
        <w:spacing w:after="360" w:line="240" w:lineRule="auto"/>
        <w:outlineLvl w:val="0"/>
        <w:rPr>
          <w:rFonts w:ascii="Times New Roman" w:eastAsia="Times New Roman" w:hAnsi="Times New Roman" w:cs="Times New Roman"/>
          <w:b/>
          <w:bCs/>
          <w:color w:val="000000"/>
          <w:kern w:val="0"/>
          <w:sz w:val="24"/>
          <w:szCs w:val="24"/>
          <w:u w:val="single"/>
          <w:lang w:val="es-ES" w:bidi="en-US"/>
          <w14:ligatures w14:val="none"/>
        </w:rPr>
      </w:pPr>
      <w:bookmarkStart w:id="1" w:name="bookmark2"/>
      <w:r w:rsidRPr="00E67D0A">
        <w:rPr>
          <w:rFonts w:ascii="Times New Roman" w:eastAsia="Times New Roman" w:hAnsi="Times New Roman" w:cs="Times New Roman"/>
          <w:b/>
          <w:bCs/>
          <w:color w:val="000000"/>
          <w:kern w:val="0"/>
          <w:sz w:val="24"/>
          <w:szCs w:val="24"/>
          <w:lang w:val="es-ES" w:bidi="en-US"/>
          <w14:ligatures w14:val="none"/>
        </w:rPr>
        <w:t>LEA ATENTAMENTE ESTE AVISO. SUS DERECHOS PUEDEN VERSE AFECTADOS.</w:t>
      </w:r>
      <w:bookmarkEnd w:id="1"/>
    </w:p>
    <w:p w14:paraId="19774941"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AVISO DE DEMANDA COLECTIVA</w:t>
      </w:r>
    </w:p>
    <w:p w14:paraId="1041F4F8"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 xml:space="preserve">Este aviso es para informarle sobre una liquidación propuesta en una demanda colectiva pendiente presentada en nombre de personas con discapacidades de movilidad contra el Alcalde y el Concejo Municipal de Baltimore (“la Ciudad”). La liquidación colectiva propuesta se estipula en un documento denominado “Decreto de consentimiento parcial”. Se llegó al Decreto de consentimiento parcial, que debe ser aprobado por el Tribunal de Distrito de Estados Unidos antes de que entre en vigencia, en el caso titulado </w:t>
      </w:r>
      <w:r w:rsidRPr="00E67D0A">
        <w:rPr>
          <w:rFonts w:ascii="Times New Roman" w:eastAsia="Times New Roman" w:hAnsi="Times New Roman" w:cs="Times New Roman"/>
          <w:i/>
          <w:iCs/>
          <w:color w:val="000000"/>
          <w:kern w:val="0"/>
          <w:sz w:val="24"/>
          <w:szCs w:val="24"/>
          <w:lang w:val="es-ES" w:bidi="en-US"/>
          <w14:ligatures w14:val="none"/>
        </w:rPr>
        <w:t>Goodlaxson, et al. v. Mayor and City Council of Baltimore,</w:t>
      </w:r>
      <w:r w:rsidRPr="00E67D0A">
        <w:rPr>
          <w:rFonts w:ascii="Times New Roman" w:eastAsia="Times New Roman" w:hAnsi="Times New Roman" w:cs="Times New Roman"/>
          <w:color w:val="000000"/>
          <w:kern w:val="0"/>
          <w:sz w:val="24"/>
          <w:szCs w:val="24"/>
          <w:lang w:val="es-ES" w:bidi="en-US"/>
          <w14:ligatures w14:val="none"/>
        </w:rPr>
        <w:t xml:space="preserve"> Caso n.°1:21-cv-01454-JKB, pendiente en el Tribunal de Distrito de Estados Unidos para el Distrito de Maryland.</w:t>
      </w:r>
    </w:p>
    <w:p w14:paraId="4D5F83F7"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bookmarkStart w:id="2" w:name="bookmark5"/>
      <w:r w:rsidRPr="00E67D0A">
        <w:rPr>
          <w:rFonts w:ascii="Times New Roman" w:eastAsia="Times New Roman" w:hAnsi="Times New Roman" w:cs="Times New Roman"/>
          <w:color w:val="000000"/>
          <w:kern w:val="0"/>
          <w:sz w:val="24"/>
          <w:szCs w:val="24"/>
          <w:lang w:val="es-ES" w:bidi="en-US"/>
          <w14:ligatures w14:val="none"/>
        </w:rPr>
        <w:t>INFORMACIÓN BÁSICA</w:t>
      </w:r>
      <w:bookmarkEnd w:id="2"/>
    </w:p>
    <w:p w14:paraId="64568B92"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En 2021, se presentó una demanda alegando que la Ciudad no respetaba las leyes federales de acceso para discapacidades porque no instalaba o mantenía rampas de bordillos y aceras (senderos peatonales) que fueran accesibles para personas con discapacidades de movilidad. La Ciudad cuestiona esto y niega haber violado la ley.</w:t>
      </w:r>
    </w:p>
    <w:p w14:paraId="67354F01"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Este caso es una demanda colectiva. En una demanda de este tipo, uno o más “Representantes del grupo” (en este caso, Susan Goodlaxson, Janice Jackson, Keyonna Mayo y The Image Center), demandan por Miembros del grupo con problemas similares. Un tribunal resuelve las cuestiones para todos los Miembros del grupo. El Juez de Distrito de Estados Unidos James K. Bredar está a cargo de esta demanda colectiva. El Tribunal no decidió a favor ni en contra de los Representantes del grupo ni de la Ciudad. En cambio, ambas partes acordaron en una liquidación.</w:t>
      </w:r>
    </w:p>
    <w:p w14:paraId="0324D9F2"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bookmarkStart w:id="3" w:name="bookmark7"/>
      <w:r w:rsidRPr="00E67D0A">
        <w:rPr>
          <w:rFonts w:ascii="Times New Roman" w:eastAsia="Times New Roman" w:hAnsi="Times New Roman" w:cs="Times New Roman"/>
          <w:color w:val="000000"/>
          <w:kern w:val="0"/>
          <w:sz w:val="24"/>
          <w:szCs w:val="24"/>
          <w:lang w:val="es-ES" w:bidi="en-US"/>
          <w14:ligatures w14:val="none"/>
        </w:rPr>
        <w:t>EL GRUPO DE LA LIQUIDACIÓN</w:t>
      </w:r>
      <w:bookmarkEnd w:id="3"/>
    </w:p>
    <w:p w14:paraId="37C9C0B4" w14:textId="77777777" w:rsidR="00E67D0A" w:rsidRPr="00E67D0A" w:rsidRDefault="00E67D0A" w:rsidP="00E67D0A">
      <w:pPr>
        <w:widowControl w:val="0"/>
        <w:spacing w:after="168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El Grupo de la liquidación incluye a todas las personas (incluso residentes y/o visitantes de la Ciudad) con cualquier discapacidad de movilidad a las que, en algún momento antes de la sentencia judicial que otorgue aprobación final al Decreto de consentimiento parcial, se les haya negado acceso pleno e igualitario al derecho de paso peatonal de la Ciudad debido a la falta de una rampa de bordillo o debido a que una rampa de bordillo o un sendero peatonal estuviera dañado, necesitara reparaciones o, de alguna otra manera, estuviera en condiciones no adecuadas o suficientes para el uso.</w:t>
      </w:r>
    </w:p>
    <w:p w14:paraId="51F27E2D"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bookmarkStart w:id="4" w:name="bookmark9"/>
      <w:r w:rsidRPr="00E67D0A">
        <w:rPr>
          <w:rFonts w:ascii="Times New Roman" w:eastAsia="Times New Roman" w:hAnsi="Times New Roman" w:cs="Times New Roman"/>
          <w:color w:val="000000"/>
          <w:kern w:val="0"/>
          <w:sz w:val="24"/>
          <w:szCs w:val="24"/>
          <w:lang w:val="es-ES" w:bidi="en-US"/>
          <w14:ligatures w14:val="none"/>
        </w:rPr>
        <w:lastRenderedPageBreak/>
        <w:t>RESUMEN DEL DECRETO DE CONSENTIMIENTO PARCIAL PROPUESTO</w:t>
      </w:r>
      <w:bookmarkEnd w:id="4"/>
    </w:p>
    <w:p w14:paraId="5EDF6B73"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 Ciudad ha acordado hacer cambios que mejorarán las rampas de bordillos y los senderos peatonales para personas con discapacidades de movilidad. A continuación se presenta un resumen de la liquidación. Para acceder a una copia del Decreto de consentimiento parcial, vea la sección “Información adicional” a continuación.</w:t>
      </w:r>
    </w:p>
    <w:p w14:paraId="3C29F238"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5" w:name="bookmark11"/>
      <w:r w:rsidRPr="00E67D0A">
        <w:rPr>
          <w:rFonts w:ascii="Times New Roman" w:hAnsi="Times New Roman" w:cs="Times New Roman"/>
          <w:sz w:val="24"/>
          <w:szCs w:val="24"/>
        </w:rPr>
        <w:t>Reparaciones</w:t>
      </w:r>
      <w:r w:rsidRPr="00E67D0A">
        <w:rPr>
          <w:rFonts w:ascii="Times New Roman" w:eastAsia="Times New Roman" w:hAnsi="Times New Roman" w:cs="Times New Roman"/>
          <w:color w:val="000000"/>
          <w:kern w:val="0"/>
          <w:sz w:val="24"/>
          <w:szCs w:val="24"/>
          <w:lang w:val="es-ES" w:bidi="en-US"/>
          <w14:ligatures w14:val="none"/>
        </w:rPr>
        <w:t xml:space="preserve"> de senderos peatonales e instalación y reparaciones de rampas de bordillos</w:t>
      </w:r>
      <w:bookmarkEnd w:id="5"/>
    </w:p>
    <w:p w14:paraId="303E2736"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El Decreto de consentimiento parcial propuesto exige que la Ciudad gaste un importe mínimo por año fiscal durante cuatro (4) años en la mejora de la accesibilidad de las rampas de bordillos y los senderos peatonales para personas con discapacidades de movilidad de acuerdo con el siguiente programa: un mínimo de $8 millones por año para el año fiscal 2024-2025 y un mínimo de $12 millones por año para los años fiscales 2025-2028. Sin embargo, si la Ciudad recibe más fondos de Ingresos por uso de carreteras que lo previsto cuando arme sus presupuestos anuales, la Ciudad gastará el importe mínimo siguiente en cada uno de esos años fiscales para mejorar la accesibilidad de rampas de bordillos y senderos peatonales para personas con discapacidades de movilidad: $10 millones para el año fiscal 2024-2025, $12.5 millones para los años fiscales 2025-2026 y 2026-2027 y $15 millones para el año fiscal 2027-2028.</w:t>
      </w:r>
    </w:p>
    <w:p w14:paraId="5B73066D"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Durante el año fiscal 2024-2025, la Ciudad usará el 70 % de ese dinero para rampas de bordillos accesibles y el 30 % de ese dinero para senderos peatonales accesibles. Después del primer año, la Ciudad gastará el 65 % de su dinero en rampas de bordillos accesibles y el 35 % en senderos peatonales accesibles.</w:t>
      </w:r>
    </w:p>
    <w:p w14:paraId="66CA6C32"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 Ciudad también ha acordado inspeccionar y documentar la accesibilidad de sus senderos peatonales en un ciclo de 10 años. La Ciudad, además, quitará plantas, áreas cubiertas de vegetación y cosas que obstruyan los senderos. También hará saber a dueños de propiedades que reparen los senderos peatonales junto a sus propiedades.</w:t>
      </w:r>
    </w:p>
    <w:p w14:paraId="7EA5A9E1"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6" w:name="bookmark13"/>
      <w:r w:rsidRPr="00E67D0A">
        <w:rPr>
          <w:rFonts w:ascii="Times New Roman" w:hAnsi="Times New Roman" w:cs="Times New Roman"/>
          <w:sz w:val="24"/>
          <w:szCs w:val="24"/>
        </w:rPr>
        <w:t>Nuevas</w:t>
      </w:r>
      <w:r w:rsidRPr="00E67D0A">
        <w:rPr>
          <w:rFonts w:ascii="Times New Roman" w:eastAsia="Times New Roman" w:hAnsi="Times New Roman" w:cs="Times New Roman"/>
          <w:color w:val="000000"/>
          <w:kern w:val="0"/>
          <w:sz w:val="24"/>
          <w:szCs w:val="24"/>
          <w:lang w:val="es-ES" w:bidi="en-US"/>
          <w14:ligatures w14:val="none"/>
        </w:rPr>
        <w:t xml:space="preserve"> obligaciones e inspecciones de construcciones y alteraciones</w:t>
      </w:r>
      <w:bookmarkEnd w:id="6"/>
    </w:p>
    <w:p w14:paraId="34731646"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Todo trabajo futuro en rampas de bordillos y senderos peatonales deberá respetar normas de acceso para discapacidades. La Ciudad aprobará el diseño y la construcción, así como inspeccionará y reemplazará rampas de bordillos y senderos peatonales recién construidos que sean inaccesibles para personas con discapacidades de movilidad. La Ciudad, además, debe instalar o reparar rampas de bordillos cuando construya calles o senderos peatonales nuevos o cuando repare los existentes, e instalará rampas de bordillos accesibles cuando pavimente de nuevo calles de la Ciudad.</w:t>
      </w:r>
    </w:p>
    <w:p w14:paraId="3E2A46E2"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7" w:name="bookmark15"/>
      <w:r w:rsidRPr="00E67D0A">
        <w:rPr>
          <w:rFonts w:ascii="Times New Roman" w:eastAsia="Times New Roman" w:hAnsi="Times New Roman" w:cs="Times New Roman"/>
          <w:color w:val="000000"/>
          <w:kern w:val="0"/>
          <w:sz w:val="24"/>
          <w:szCs w:val="24"/>
          <w:lang w:val="es-ES" w:bidi="en-US"/>
          <w14:ligatures w14:val="none"/>
        </w:rPr>
        <w:t>Obligaciones y priorización de accesos del programa</w:t>
      </w:r>
      <w:bookmarkEnd w:id="7"/>
    </w:p>
    <w:p w14:paraId="76EE2291" w14:textId="77777777" w:rsidR="00E67D0A" w:rsidRPr="00E67D0A" w:rsidRDefault="00E67D0A" w:rsidP="00E67D0A">
      <w:pPr>
        <w:widowControl w:val="0"/>
        <w:spacing w:after="36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Al mejorar sus rampas de bordillos y senderos peatonales existentes, la Ciudad priorizará las siguientes ubicaciones: (1) oficinas e instalaciones del gobierno de la Ciudad, (2) corredores de transporte, (3) hospitales, instituciones médicas, de vida asistida y similares, (4) lugares públicos como zonas comerciales y de negocios. (5) instalaciones que contengan empleadores y (6) vecindarios residenciales. La Ciudad le dará máxima prioridad a “áreas de equidad prioritaria” y garantizará que los beneficios de la liquidación se distribuyan en toda la Ciudad de manera justa.</w:t>
      </w:r>
    </w:p>
    <w:p w14:paraId="28B1060B"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8" w:name="bookmark17"/>
      <w:r w:rsidRPr="00E67D0A">
        <w:rPr>
          <w:rFonts w:ascii="Times New Roman" w:eastAsia="Times New Roman" w:hAnsi="Times New Roman" w:cs="Times New Roman"/>
          <w:color w:val="000000"/>
          <w:kern w:val="0"/>
          <w:sz w:val="24"/>
          <w:szCs w:val="24"/>
          <w:lang w:val="es-ES" w:bidi="en-US"/>
          <w14:ligatures w14:val="none"/>
        </w:rPr>
        <w:t>Coordinadores de ADA</w:t>
      </w:r>
      <w:bookmarkEnd w:id="8"/>
    </w:p>
    <w:p w14:paraId="2A41A718"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 Ciudad nombrará un coordinador de ADA para el Departamento de Transporte y un coordinador de ADA para los derechos de paso peatonales. Ambos coordinadores de ADA tendrán experiencia y conocimientos con respecto a normas vigentes de acceso para discapacidades.</w:t>
      </w:r>
    </w:p>
    <w:p w14:paraId="33B4080E"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9" w:name="bookmark19"/>
      <w:r w:rsidRPr="00E67D0A">
        <w:rPr>
          <w:rFonts w:ascii="Times New Roman" w:eastAsia="Times New Roman" w:hAnsi="Times New Roman" w:cs="Times New Roman"/>
          <w:color w:val="000000"/>
          <w:kern w:val="0"/>
          <w:sz w:val="24"/>
          <w:szCs w:val="24"/>
          <w:lang w:val="es-ES" w:bidi="en-US"/>
          <w14:ligatures w14:val="none"/>
        </w:rPr>
        <w:t>Sistema de solicitud de acceso</w:t>
      </w:r>
      <w:bookmarkEnd w:id="9"/>
    </w:p>
    <w:p w14:paraId="1CA5CDBD"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Las personas con discapacidades de movilidad pueden presentar solicitudes para que se quiten o reparen barreras de acceso en derechos de paso peatonales. La Ciudad revisará las solicitudes en el plazo de sesenta (60) días desde que se presenten. La Ciudad hará su mejor intento para finalizar cada solicitud en el plazo de nueve (9) meses, pero si la extracción o la reparación fuera imposible, lo hará lo más accesible que pueda.</w:t>
      </w:r>
    </w:p>
    <w:p w14:paraId="1FD29E88"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10" w:name="bookmark21"/>
      <w:r w:rsidRPr="00E67D0A">
        <w:rPr>
          <w:rFonts w:ascii="Times New Roman" w:eastAsia="Times New Roman" w:hAnsi="Times New Roman" w:cs="Times New Roman"/>
          <w:color w:val="000000"/>
          <w:kern w:val="0"/>
          <w:sz w:val="24"/>
          <w:szCs w:val="24"/>
          <w:lang w:val="es-ES" w:bidi="en-US"/>
          <w14:ligatures w14:val="none"/>
        </w:rPr>
        <w:t>Base de datos de mantenimiento y gestión de recursos</w:t>
      </w:r>
      <w:bookmarkEnd w:id="10"/>
    </w:p>
    <w:p w14:paraId="6E189D32"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 Ciudad elaborará una política para mantener las rampas de bordillos y los senderos peatonales accesibles y creará una base de datos de información sobre la accesibilidad de las rampas de bordillos y los senderos peatonales, incluidas pendientes, anchos y cualquier barrera de acceso en las rampas de bordillos o los senderos peatonales.</w:t>
      </w:r>
    </w:p>
    <w:p w14:paraId="4153868B"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11" w:name="bookmark23"/>
      <w:r w:rsidRPr="00E67D0A">
        <w:rPr>
          <w:rFonts w:ascii="Times New Roman" w:eastAsia="Times New Roman" w:hAnsi="Times New Roman" w:cs="Times New Roman"/>
          <w:color w:val="000000"/>
          <w:kern w:val="0"/>
          <w:sz w:val="24"/>
          <w:szCs w:val="24"/>
          <w:lang w:val="es-ES" w:bidi="en-US"/>
          <w14:ligatures w14:val="none"/>
        </w:rPr>
        <w:t>Monitoreo</w:t>
      </w:r>
      <w:bookmarkEnd w:id="11"/>
    </w:p>
    <w:p w14:paraId="3C5D543E"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 Ciudad le proporcionará al Asesor legal del grupo informes periódicos sobre su cumplimiento de estas obligaciones y el Asesor legal del grupo se reunirá con la Ciudad e inspeccionará sus trabajos..</w:t>
      </w:r>
    </w:p>
    <w:p w14:paraId="6375AEE1" w14:textId="77777777" w:rsidR="00E67D0A" w:rsidRPr="00E67D0A" w:rsidRDefault="00E67D0A" w:rsidP="00F75E64">
      <w:pPr>
        <w:pStyle w:val="Heading2"/>
        <w:numPr>
          <w:ilvl w:val="0"/>
          <w:numId w:val="8"/>
        </w:numPr>
        <w:ind w:left="1440" w:hanging="720"/>
        <w:rPr>
          <w:rFonts w:ascii="Times New Roman" w:eastAsia="Times New Roman" w:hAnsi="Times New Roman" w:cs="Times New Roman"/>
          <w:color w:val="000000"/>
          <w:kern w:val="0"/>
          <w:sz w:val="24"/>
          <w:szCs w:val="24"/>
          <w:lang w:val="es-ES" w:bidi="en-US"/>
          <w14:ligatures w14:val="none"/>
        </w:rPr>
      </w:pPr>
      <w:bookmarkStart w:id="12" w:name="bookmark25"/>
      <w:r w:rsidRPr="00E67D0A">
        <w:rPr>
          <w:rFonts w:ascii="Times New Roman" w:eastAsia="Times New Roman" w:hAnsi="Times New Roman" w:cs="Times New Roman"/>
          <w:color w:val="000000"/>
          <w:kern w:val="0"/>
          <w:sz w:val="24"/>
          <w:szCs w:val="24"/>
          <w:lang w:val="es-ES" w:bidi="en-US"/>
          <w14:ligatures w14:val="none"/>
        </w:rPr>
        <w:t>Negociaciones futuras</w:t>
      </w:r>
      <w:bookmarkEnd w:id="12"/>
    </w:p>
    <w:p w14:paraId="34C2DE35" w14:textId="77777777" w:rsidR="00E67D0A" w:rsidRPr="00E67D0A" w:rsidRDefault="00E67D0A" w:rsidP="00E67D0A">
      <w:pPr>
        <w:widowControl w:val="0"/>
        <w:spacing w:after="100" w:afterAutospacing="1"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Doce meces antes de que finalice el Decreto de consentimiento parcial, las Partes comenzarán a negociar para hacer las rampas de bordillos y los senderos peatonales restantes de la Ciudad accesibles para personas con discapacidades de movilidad. Cualquier convenio será parte del decreto de consentimiento siguiente.</w:t>
      </w:r>
    </w:p>
    <w:p w14:paraId="32D36362"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bookmarkStart w:id="13" w:name="bookmark27"/>
      <w:r w:rsidRPr="00E67D0A">
        <w:rPr>
          <w:rFonts w:ascii="Times New Roman" w:eastAsia="Times New Roman" w:hAnsi="Times New Roman" w:cs="Times New Roman"/>
          <w:color w:val="000000"/>
          <w:kern w:val="0"/>
          <w:sz w:val="24"/>
          <w:szCs w:val="24"/>
          <w:lang w:val="es-ES" w:bidi="en-US"/>
          <w14:ligatures w14:val="none"/>
        </w:rPr>
        <w:t>SUSPENSIÓN DE RECLAMACIONES COLECTIVAS</w:t>
      </w:r>
      <w:bookmarkEnd w:id="13"/>
    </w:p>
    <w:p w14:paraId="72986F0E"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Toda reclamación de reparación no económica que podría haberse presentado en esta demanda relacionada con la accesibilidad de rampas de bordillos y senderos peatonales se suspende. La liquidación no exime ni suspende ninguna reclamación por daños económicos que los miembros del grupo de la liquidación puedan tener.</w:t>
      </w:r>
    </w:p>
    <w:p w14:paraId="5CE95EBA"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bookmarkStart w:id="14" w:name="bookmark29"/>
      <w:r w:rsidRPr="00E67D0A">
        <w:rPr>
          <w:rFonts w:ascii="Times New Roman" w:eastAsia="Times New Roman" w:hAnsi="Times New Roman" w:cs="Times New Roman"/>
          <w:color w:val="000000"/>
          <w:kern w:val="0"/>
          <w:sz w:val="24"/>
          <w:szCs w:val="24"/>
          <w:lang w:val="es-ES" w:bidi="en-US"/>
          <w14:ligatures w14:val="none"/>
        </w:rPr>
        <w:t>PAGOS A REPRESENTANTES DEL GRUPO</w:t>
      </w:r>
      <w:bookmarkEnd w:id="14"/>
    </w:p>
    <w:p w14:paraId="7FE3DC1C" w14:textId="77777777" w:rsidR="00E67D0A" w:rsidRDefault="00E67D0A" w:rsidP="000F69AC">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La Ciudad ha acordado hacerles a Susan Goodlaxson, Janice Jackson, Keyonna Mayo y The Image Center un pago único por servicios por un importe de $10,000 a cada uno por sus servicios al grupo de la liquidación. El Tribunal decidirá si deben recibir los $10,000 y ninguno de los pagos provendrá del dinero que se use para instalar y reparar rampas de bordillos y senderos peatonales.</w:t>
      </w:r>
    </w:p>
    <w:p w14:paraId="43EC4847" w14:textId="77777777" w:rsidR="00E67D0A" w:rsidRPr="00E67D0A" w:rsidRDefault="00E67D0A" w:rsidP="00F75E64">
      <w:pPr>
        <w:pStyle w:val="Heading1"/>
        <w:spacing w:after="240"/>
        <w:rPr>
          <w:rFonts w:ascii="Times New Roman" w:eastAsia="Times New Roman" w:hAnsi="Times New Roman" w:cs="Times New Roman"/>
          <w:color w:val="000000"/>
          <w:kern w:val="0"/>
          <w:sz w:val="24"/>
          <w:szCs w:val="24"/>
          <w:lang w:val="es-ES" w:bidi="en-US"/>
          <w14:ligatures w14:val="none"/>
        </w:rPr>
      </w:pPr>
      <w:bookmarkStart w:id="15" w:name="bookmark31"/>
      <w:r w:rsidRPr="00E67D0A">
        <w:rPr>
          <w:rFonts w:ascii="Times New Roman" w:eastAsia="Times New Roman" w:hAnsi="Times New Roman" w:cs="Times New Roman"/>
          <w:color w:val="000000"/>
          <w:kern w:val="0"/>
          <w:sz w:val="24"/>
          <w:szCs w:val="24"/>
          <w:lang w:val="es-ES" w:bidi="en-US"/>
          <w14:ligatures w14:val="none"/>
        </w:rPr>
        <w:t>HONORARIOS DE ABOGADOS, COSTAS Y GASTOS RAZONABLES</w:t>
      </w:r>
      <w:bookmarkEnd w:id="15"/>
    </w:p>
    <w:p w14:paraId="6AC8C1F7" w14:textId="77777777" w:rsidR="00E67D0A" w:rsidRPr="00E67D0A" w:rsidRDefault="00E67D0A" w:rsidP="00E67D0A">
      <w:pPr>
        <w:widowControl w:val="0"/>
        <w:tabs>
          <w:tab w:val="left" w:leader="underscore" w:pos="3542"/>
        </w:tabs>
        <w:spacing w:after="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El grupo de la liquidación está representado por Disability Rights Advocates, Disability Rights Maryland y las firmas jurídicas Goldstein, Borgen, Dardarian &amp; Ho y Fox &amp; Robertson (que juntos son el “Asesor legal del grupo”). El Asesor legal del grupo le pedirá al Tribunal que le ordene a la Ciudad que les pague sus honorarios, costas y gastos razonables con base en la cantidad de tiempo, las costas y los gastos que el Asesor legal del grupo haya dedicado para presentar, negociar y resolver el caso. El Asesor legal del grupo no solicitará más de $1,75 millones por sus honorarios de abogados, costas y gastos hasta la fecha en que el Tribunal apruebe el Decreto de consentimiento parcial. El Tribunal decidirá cuánto deben recibir. El importe que el Tribunal otorgue no provendrá del dinero que se use para instalar y reparar rampas de bordillos y senderos peatonales.</w:t>
      </w:r>
    </w:p>
    <w:p w14:paraId="32C605BC"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El Asesor legal del grupo también tendrá derecho a recibir pago por su tiempo y costas dedicados al monitoreo del trabajo que realice la Ciudad para cumplir las promesas contenidas en el Decreto de consentimiento parcial. El importe que se pague al Asesor legal del grupo por ese trabajo tampoco provendrá del dinero que se use para instalar y reparar rampas de bordillos y senderos peatonales.</w:t>
      </w:r>
    </w:p>
    <w:p w14:paraId="71D6D170" w14:textId="77777777" w:rsidR="00E67D0A" w:rsidRPr="00E67D0A" w:rsidRDefault="00E67D0A" w:rsidP="000F69AC">
      <w:pPr>
        <w:pStyle w:val="Heading1"/>
        <w:spacing w:after="240"/>
        <w:rPr>
          <w:rFonts w:ascii="Times New Roman" w:eastAsia="Times New Roman" w:hAnsi="Times New Roman" w:cs="Times New Roman"/>
          <w:color w:val="000000"/>
          <w:kern w:val="0"/>
          <w:sz w:val="24"/>
          <w:szCs w:val="24"/>
          <w:lang w:val="es-ES" w:bidi="en-US"/>
          <w14:ligatures w14:val="none"/>
        </w:rPr>
      </w:pPr>
      <w:bookmarkStart w:id="16" w:name="bookmark33"/>
      <w:r w:rsidRPr="00E67D0A">
        <w:rPr>
          <w:rFonts w:ascii="Times New Roman" w:eastAsia="Times New Roman" w:hAnsi="Times New Roman" w:cs="Times New Roman"/>
          <w:color w:val="000000"/>
          <w:kern w:val="0"/>
          <w:sz w:val="24"/>
          <w:szCs w:val="24"/>
          <w:lang w:val="es-ES" w:bidi="en-US"/>
          <w14:ligatures w14:val="none"/>
        </w:rPr>
        <w:t>AUDIENCIA DE APROBACIÓN FINAL DEL TRIBUNAL</w:t>
      </w:r>
      <w:bookmarkEnd w:id="16"/>
    </w:p>
    <w:p w14:paraId="592DB537"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El Tribunal ha aprobado de manera preliminar el Decreto de consentimiento parcial y ha programado una audiencia para el 27 de marzo de 2025 a las 11 a.m. en la Sala del Honorable James K. Bredar, Tribunal de Distrito de Estados Unidos para el Distrito de Maryland, 101 West Lombard Street, Chambers 5A, Baltimore, MD 21201, para decidir si la liquidación es justa, razonable y adecuada y debe ser aprobada finalmente, así como si se otorgan pagos por servicios a los Representantes del grupo y cuánto se le otorgará al Asesor legal del grupo en honorarios de abogados, costas y gastos razonables. En la audiencia, el Tribunal considerará cualquier objeción a la liquidación y escuchará a las personas que deseen hablar. Usted tiene derecho a ser escuchado en esta audiencia, pero no tiene obligación de asistir.</w:t>
      </w:r>
    </w:p>
    <w:p w14:paraId="498DDED0"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 xml:space="preserve">La fecha de esta audiencia está sujeta a cambios sin otro aviso. Si desea ser informado sobre cualquier cambio en el programa, notifique al Asesor legal del grupo a las direcciones que se enumeran a continuación. También puede visitar https://gbdhlegal.com/cases/goodlaxson-et-al-v-mayor-and-city-council-of-baltimore/ o los registros públicos del tribunal presentados en esta acción en </w:t>
      </w:r>
      <w:r w:rsidRPr="00E67D0A">
        <w:rPr>
          <w:rFonts w:ascii="Times New Roman" w:eastAsia="Times New Roman" w:hAnsi="Times New Roman" w:cs="Times New Roman"/>
          <w:color w:val="0000FF"/>
          <w:kern w:val="0"/>
          <w:sz w:val="24"/>
          <w:szCs w:val="24"/>
          <w:u w:val="single"/>
          <w:lang w:val="es-ES" w:bidi="en-US"/>
          <w14:ligatures w14:val="none"/>
        </w:rPr>
        <w:t>https://www.pacer.gov/</w:t>
      </w:r>
      <w:r w:rsidRPr="00E67D0A">
        <w:rPr>
          <w:rFonts w:ascii="Times New Roman" w:eastAsia="Times New Roman" w:hAnsi="Times New Roman" w:cs="Times New Roman"/>
          <w:color w:val="0000FF"/>
          <w:kern w:val="0"/>
          <w:sz w:val="24"/>
          <w:szCs w:val="24"/>
          <w:lang w:val="es-ES" w:bidi="en-US"/>
          <w14:ligatures w14:val="none"/>
        </w:rPr>
        <w:t xml:space="preserve"> </w:t>
      </w:r>
      <w:r w:rsidRPr="00E67D0A">
        <w:rPr>
          <w:rFonts w:ascii="Times New Roman" w:eastAsia="Times New Roman" w:hAnsi="Times New Roman" w:cs="Times New Roman"/>
          <w:color w:val="000000"/>
          <w:kern w:val="0"/>
          <w:sz w:val="24"/>
          <w:szCs w:val="24"/>
          <w:lang w:val="es-ES" w:bidi="en-US"/>
          <w14:ligatures w14:val="none"/>
        </w:rPr>
        <w:t>para conocer cualquier actualización.</w:t>
      </w:r>
    </w:p>
    <w:p w14:paraId="62A9B79D" w14:textId="77777777" w:rsidR="00E67D0A" w:rsidRPr="00E67D0A" w:rsidRDefault="00E67D0A" w:rsidP="000F69AC">
      <w:pPr>
        <w:pStyle w:val="Heading1"/>
        <w:spacing w:after="240"/>
        <w:rPr>
          <w:rFonts w:ascii="Times New Roman" w:eastAsia="Times New Roman" w:hAnsi="Times New Roman" w:cs="Times New Roman"/>
          <w:color w:val="000000"/>
          <w:kern w:val="0"/>
          <w:sz w:val="24"/>
          <w:szCs w:val="24"/>
          <w:lang w:val="es-ES" w:bidi="en-US"/>
          <w14:ligatures w14:val="none"/>
        </w:rPr>
      </w:pPr>
      <w:bookmarkStart w:id="17" w:name="bookmark35"/>
      <w:r w:rsidRPr="00E67D0A">
        <w:rPr>
          <w:rFonts w:ascii="Times New Roman" w:eastAsia="Times New Roman" w:hAnsi="Times New Roman" w:cs="Times New Roman"/>
          <w:color w:val="000000"/>
          <w:kern w:val="0"/>
          <w:sz w:val="24"/>
          <w:szCs w:val="24"/>
          <w:lang w:val="es-ES" w:bidi="en-US"/>
          <w14:ligatures w14:val="none"/>
        </w:rPr>
        <w:t>OBJECIONES A LA LIQUIDACIÓN</w:t>
      </w:r>
      <w:bookmarkEnd w:id="17"/>
    </w:p>
    <w:p w14:paraId="23F5EB03" w14:textId="77777777" w:rsidR="00E67D0A" w:rsidRPr="00E67D0A" w:rsidRDefault="00E67D0A" w:rsidP="000F69AC">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Usted puede presentar una objeción para solicitarle al Tribunal que no apruebe el Decreto de consentimiento parcial. No le puede solicitar al Tribunal que ordene términos diferentes; el Tribunal solo puede aprobar o rechazar el Decreto de consentimiento parcial. Si el Tribunal niega la aprobación, la Ciudad no tendrá obligación de hacer cambios en los derechos de paso peatonales como se estipula en el Decreto de consentimiento parcial. En cambio, el juicio continuará. Si eso es lo que desea que suceda, debe objetar.</w:t>
      </w:r>
    </w:p>
    <w:p w14:paraId="2C4597ED" w14:textId="77777777" w:rsidR="00E67D0A" w:rsidRPr="00E67D0A" w:rsidRDefault="00E67D0A" w:rsidP="000F69AC">
      <w:pPr>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Cualquier objeción al Decreto de consentimiento parcial propuesto debe hacerse por escrito. Si presenta una objeción por escrito en tiempo y forma, puede, pero no tiene obligación de hacerlo, comparecer en la Audiencia de aprobación final, ya sea en persona o a través de su propio abogado. Si comparece a través de su propio abogado, usted es responsable de contratar y pagarle a ese abogado. Todas las objeciones escritas deben (a) identificar con claridad el nombre y número del caso (</w:t>
      </w:r>
      <w:r w:rsidRPr="00E67D0A">
        <w:rPr>
          <w:rFonts w:ascii="Times New Roman" w:eastAsia="Times New Roman" w:hAnsi="Times New Roman" w:cs="Times New Roman"/>
          <w:i/>
          <w:iCs/>
          <w:color w:val="000000"/>
          <w:kern w:val="0"/>
          <w:sz w:val="24"/>
          <w:szCs w:val="24"/>
          <w:lang w:val="es-ES" w:bidi="en-US"/>
          <w14:ligatures w14:val="none"/>
        </w:rPr>
        <w:t>Goodlaxson, et al. v. Mayor and City Council of Baltimore</w:t>
      </w:r>
      <w:r w:rsidRPr="00E67D0A">
        <w:rPr>
          <w:rFonts w:ascii="Times New Roman" w:eastAsia="Times New Roman" w:hAnsi="Times New Roman" w:cs="Times New Roman"/>
          <w:color w:val="000000"/>
          <w:kern w:val="0"/>
          <w:sz w:val="24"/>
          <w:szCs w:val="24"/>
          <w:lang w:val="es-ES" w:bidi="en-US"/>
          <w14:ligatures w14:val="none"/>
        </w:rPr>
        <w:t>, Caso n.° 1:21-cv-01454-JKB), (b) presentarse al Tribunal, con una copia al Asesor legal del grupo, ya sea enviándolas por correo a: Clerk, United States District Court for the District of Maryland, 101 West Lombard Street, Baltimore, MD 21201, o presentándolas en persona en cualquier ubicación del Tribunal de Distrito de Estados Unidos para el Distrito de Maryland y (c) presentarse o tener matasellos con fecha del 17 de marzo de 2025 o antes. También puede comparecer en la audiencia para objetar el Decreto de consentimiento parcial.</w:t>
      </w:r>
    </w:p>
    <w:p w14:paraId="04E21DAB" w14:textId="77777777" w:rsidR="00E67D0A" w:rsidRPr="00E67D0A" w:rsidRDefault="00E67D0A" w:rsidP="000F69AC">
      <w:pPr>
        <w:widowControl w:val="0"/>
        <w:spacing w:after="240" w:line="240" w:lineRule="auto"/>
        <w:jc w:val="center"/>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b/>
          <w:bCs/>
          <w:color w:val="000000"/>
          <w:kern w:val="0"/>
          <w:sz w:val="24"/>
          <w:szCs w:val="24"/>
          <w:lang w:val="es-ES" w:bidi="en-US"/>
          <w14:ligatures w14:val="none"/>
        </w:rPr>
        <w:t>SI NO HACE UNA OBJECIÓN EN TIEMPO Y FORMA COMO SE DESCRIBIÓ ANTES, HABRÁ RENUNCIADO A SU OBJECIÓN Y NO PODRÁ HACERLE NINGUNA OBJECIÓN AL DECRETO DE CONSENTIMIENTO PARCIAL.</w:t>
      </w:r>
    </w:p>
    <w:p w14:paraId="7198CFEE" w14:textId="77777777" w:rsidR="00E67D0A" w:rsidRDefault="00E67D0A" w:rsidP="000F69AC">
      <w:pPr>
        <w:widowControl w:val="0"/>
        <w:spacing w:after="360" w:line="240" w:lineRule="auto"/>
        <w:jc w:val="center"/>
        <w:rPr>
          <w:rFonts w:ascii="Times New Roman" w:eastAsia="Times New Roman" w:hAnsi="Times New Roman" w:cs="Times New Roman"/>
          <w:b/>
          <w:bCs/>
          <w:color w:val="000000"/>
          <w:kern w:val="0"/>
          <w:sz w:val="24"/>
          <w:szCs w:val="24"/>
          <w:lang w:val="es-ES" w:bidi="en-US"/>
          <w14:ligatures w14:val="none"/>
        </w:rPr>
      </w:pPr>
      <w:r w:rsidRPr="00E67D0A">
        <w:rPr>
          <w:rFonts w:ascii="Times New Roman" w:eastAsia="Times New Roman" w:hAnsi="Times New Roman" w:cs="Times New Roman"/>
          <w:b/>
          <w:bCs/>
          <w:color w:val="000000"/>
          <w:kern w:val="0"/>
          <w:sz w:val="24"/>
          <w:szCs w:val="24"/>
          <w:lang w:val="es-ES" w:bidi="en-US"/>
          <w14:ligatures w14:val="none"/>
        </w:rPr>
        <w:t>SI NO SE OPONE A ESTA LIQUIDACIÓN, NO ES NECESARIO QUE COMPAREZCA NI QUE PRESENTE NADA POR ESCRITO.</w:t>
      </w:r>
    </w:p>
    <w:p w14:paraId="0E6DE11D" w14:textId="77777777" w:rsidR="00E67D0A" w:rsidRPr="00E67D0A" w:rsidRDefault="00E67D0A" w:rsidP="000F69AC">
      <w:pPr>
        <w:pStyle w:val="Heading3"/>
        <w:jc w:val="both"/>
        <w:rPr>
          <w:rFonts w:ascii="Times New Roman" w:eastAsia="Times New Roman" w:hAnsi="Times New Roman" w:cs="Times New Roman"/>
          <w:color w:val="000000"/>
          <w:kern w:val="0"/>
          <w:sz w:val="24"/>
          <w:szCs w:val="24"/>
          <w:lang w:val="es-ES" w:bidi="en-US"/>
          <w14:ligatures w14:val="none"/>
        </w:rPr>
      </w:pPr>
      <w:bookmarkStart w:id="18" w:name="bookmark37"/>
      <w:r w:rsidRPr="00E67D0A">
        <w:rPr>
          <w:rFonts w:ascii="Times New Roman" w:hAnsi="Times New Roman" w:cs="Times New Roman"/>
          <w:sz w:val="24"/>
          <w:szCs w:val="28"/>
        </w:rPr>
        <w:t>INFORMACIÓN</w:t>
      </w:r>
      <w:r w:rsidRPr="00E67D0A">
        <w:rPr>
          <w:rFonts w:ascii="Times New Roman" w:eastAsia="Times New Roman" w:hAnsi="Times New Roman" w:cs="Times New Roman"/>
          <w:color w:val="000000"/>
          <w:kern w:val="0"/>
          <w:sz w:val="24"/>
          <w:szCs w:val="24"/>
          <w:lang w:val="es-ES" w:bidi="en-US"/>
          <w14:ligatures w14:val="none"/>
        </w:rPr>
        <w:t xml:space="preserve"> ADICIONAL</w:t>
      </w:r>
      <w:bookmarkEnd w:id="18"/>
    </w:p>
    <w:p w14:paraId="2861CE8F"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 xml:space="preserve">Este aviso solo resume los términos del Decreto de consentimiento parcial. SI desea más detalles, vea el Decreto de consentimiento parcial disponible en https://gbdhlegal.com/cases/goodlaxson-et-al-v-mayor-and-city-council-of-baltimore/, o puede acceder al expediente del Tribunal sobre este caso a través del sistema de Acceso público a registros electrónicos (PACER) del Tribunal en </w:t>
      </w:r>
      <w:r w:rsidRPr="00E67D0A">
        <w:rPr>
          <w:rFonts w:ascii="Times New Roman" w:eastAsia="Times New Roman" w:hAnsi="Times New Roman" w:cs="Times New Roman"/>
          <w:color w:val="0000FF"/>
          <w:kern w:val="0"/>
          <w:sz w:val="24"/>
          <w:szCs w:val="24"/>
          <w:u w:val="single"/>
          <w:lang w:val="es-ES" w:bidi="en-US"/>
          <w14:ligatures w14:val="none"/>
        </w:rPr>
        <w:t>https://ecf.mdd.uscourts.gov</w:t>
      </w:r>
      <w:r w:rsidRPr="00E67D0A">
        <w:rPr>
          <w:rFonts w:ascii="Times New Roman" w:eastAsia="Times New Roman" w:hAnsi="Times New Roman" w:cs="Times New Roman"/>
          <w:color w:val="000000"/>
          <w:kern w:val="0"/>
          <w:sz w:val="24"/>
          <w:szCs w:val="24"/>
          <w:u w:val="single"/>
          <w:lang w:val="es-ES" w:bidi="en-US"/>
          <w14:ligatures w14:val="none"/>
        </w:rPr>
        <w:t>,</w:t>
      </w:r>
      <w:r w:rsidRPr="00E67D0A">
        <w:rPr>
          <w:rFonts w:ascii="Times New Roman" w:eastAsia="Times New Roman" w:hAnsi="Times New Roman" w:cs="Times New Roman"/>
          <w:color w:val="000000"/>
          <w:kern w:val="0"/>
          <w:sz w:val="24"/>
          <w:szCs w:val="24"/>
          <w:lang w:val="es-ES" w:bidi="en-US"/>
          <w14:ligatures w14:val="none"/>
        </w:rPr>
        <w:t xml:space="preserve"> o visitando la oficina del Secretario del Tribunal para el Tribunal de Distrito de Estados Unidos para el Distrito de Maryland, 101 West Lombard Street, Baltimore, MD 21201, de lunes a viernes entre las 9:00 a. m. y las 4:00 p. m., excepto los días festivos judiciales.</w:t>
      </w:r>
    </w:p>
    <w:p w14:paraId="4B3E0031" w14:textId="77777777" w:rsidR="00E67D0A" w:rsidRPr="00E67D0A" w:rsidRDefault="00E67D0A" w:rsidP="00E67D0A">
      <w:pPr>
        <w:widowControl w:val="0"/>
        <w:spacing w:after="240"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color w:val="000000"/>
          <w:kern w:val="0"/>
          <w:sz w:val="24"/>
          <w:szCs w:val="24"/>
          <w:lang w:val="es-ES" w:bidi="en-US"/>
          <w14:ligatures w14:val="none"/>
        </w:rPr>
        <w:t>Para conocer más detalles o pedir una copia del Decreto de consentimiento parcial, puede contactar al Asesor legal del grupo en las siguientes direcciones, correos electrónicos y números de teléfono:</w:t>
      </w:r>
    </w:p>
    <w:p w14:paraId="249A3324"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Linda M. Dardarian</w:t>
      </w:r>
    </w:p>
    <w:p w14:paraId="4AA8AFAA"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Ginger L. Grimes</w:t>
      </w:r>
    </w:p>
    <w:p w14:paraId="4467E074"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GOLDSTEIN, BORGEN, DARDARIAN &amp; HO</w:t>
      </w:r>
    </w:p>
    <w:p w14:paraId="601A97DB"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155 Grand Avenue, Suite 900</w:t>
      </w:r>
    </w:p>
    <w:p w14:paraId="7740A4F7"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Oakland, CA 94612</w:t>
      </w:r>
    </w:p>
    <w:p w14:paraId="060593F7"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ldardarian@gdbhlegal.com</w:t>
      </w:r>
    </w:p>
    <w:p w14:paraId="1F0A2481" w14:textId="77777777" w:rsid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ggrimes@gbdhlegal.com 510-763-9800</w:t>
      </w:r>
    </w:p>
    <w:p w14:paraId="49AD1D06" w14:textId="77777777" w:rsidR="000F69AC" w:rsidRPr="00E67D0A" w:rsidRDefault="000F69AC" w:rsidP="000F69AC">
      <w:pPr>
        <w:spacing w:after="0" w:line="240" w:lineRule="exact"/>
        <w:textAlignment w:val="baseline"/>
        <w:rPr>
          <w:rFonts w:ascii="Times New Roman" w:hAnsi="Times New Roman" w:cs="Times New Roman"/>
          <w:color w:val="000000"/>
          <w:sz w:val="24"/>
          <w:szCs w:val="24"/>
        </w:rPr>
      </w:pPr>
    </w:p>
    <w:p w14:paraId="63271E10"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Timothy Fox</w:t>
      </w:r>
    </w:p>
    <w:p w14:paraId="6EB9244D"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FOX &amp; ROBERTSON</w:t>
      </w:r>
    </w:p>
    <w:p w14:paraId="4FB28BAB"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1 Broadway Suite B205</w:t>
      </w:r>
    </w:p>
    <w:p w14:paraId="0FA4F5F7" w14:textId="77777777" w:rsid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Denver, CO 80203 tfox@foxrob.com 303-951-4164</w:t>
      </w:r>
    </w:p>
    <w:p w14:paraId="7005F627" w14:textId="77777777" w:rsidR="000F69AC" w:rsidRPr="00E67D0A" w:rsidRDefault="000F69AC" w:rsidP="000F69AC">
      <w:pPr>
        <w:spacing w:after="0" w:line="240" w:lineRule="exact"/>
        <w:textAlignment w:val="baseline"/>
        <w:rPr>
          <w:rFonts w:ascii="Times New Roman" w:hAnsi="Times New Roman" w:cs="Times New Roman"/>
          <w:color w:val="000000"/>
          <w:sz w:val="24"/>
          <w:szCs w:val="24"/>
        </w:rPr>
      </w:pPr>
    </w:p>
    <w:p w14:paraId="467CCC36"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Gabriel Rubinstein</w:t>
      </w:r>
    </w:p>
    <w:p w14:paraId="3CB31865"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DISABILITY RIGHTS MARYLAND</w:t>
      </w:r>
    </w:p>
    <w:p w14:paraId="3DBBC04B"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1500 Union Avenue, Suite 2000</w:t>
      </w:r>
    </w:p>
    <w:p w14:paraId="66CCE2C6"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Baltimore, MD 21211</w:t>
      </w:r>
    </w:p>
    <w:p w14:paraId="5D24A47D"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GabrielR@disabilityrightsmd.org</w:t>
      </w:r>
    </w:p>
    <w:p w14:paraId="61C73217" w14:textId="77777777" w:rsid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410-727-6352</w:t>
      </w:r>
    </w:p>
    <w:p w14:paraId="4B6597E1" w14:textId="77777777" w:rsidR="000F69AC" w:rsidRPr="00E67D0A" w:rsidRDefault="000F69AC" w:rsidP="000F69AC">
      <w:pPr>
        <w:spacing w:after="0" w:line="240" w:lineRule="exact"/>
        <w:textAlignment w:val="baseline"/>
        <w:rPr>
          <w:rFonts w:ascii="Times New Roman" w:hAnsi="Times New Roman" w:cs="Times New Roman"/>
          <w:color w:val="000000"/>
          <w:sz w:val="24"/>
          <w:szCs w:val="24"/>
        </w:rPr>
      </w:pPr>
    </w:p>
    <w:p w14:paraId="31D97EAA" w14:textId="04ECE503"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Madeleine Reichman</w:t>
      </w:r>
    </w:p>
    <w:p w14:paraId="7FDCFF38"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DISABILITY RIGHTS MARYLAND</w:t>
      </w:r>
    </w:p>
    <w:p w14:paraId="5C3801C6" w14:textId="77777777" w:rsidR="00E67D0A" w:rsidRPr="00E67D0A"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655 3rd Avenue, Suite 2619</w:t>
      </w:r>
    </w:p>
    <w:p w14:paraId="6BA901A3" w14:textId="0F1A504D" w:rsidR="00E67D0A" w:rsidRPr="000F69AC" w:rsidRDefault="00E67D0A" w:rsidP="000F69AC">
      <w:pPr>
        <w:spacing w:after="0" w:line="240" w:lineRule="exact"/>
        <w:textAlignment w:val="baseline"/>
        <w:rPr>
          <w:rFonts w:ascii="Times New Roman" w:hAnsi="Times New Roman" w:cs="Times New Roman"/>
          <w:color w:val="000000"/>
          <w:sz w:val="24"/>
          <w:szCs w:val="24"/>
        </w:rPr>
      </w:pPr>
      <w:r w:rsidRPr="00E67D0A">
        <w:rPr>
          <w:rFonts w:ascii="Times New Roman" w:hAnsi="Times New Roman" w:cs="Times New Roman"/>
          <w:color w:val="000000"/>
          <w:sz w:val="24"/>
          <w:szCs w:val="24"/>
        </w:rPr>
        <w:t>New York, NY 10017 mreichman@dralegal.</w:t>
      </w:r>
      <w:r w:rsidR="000F69AC">
        <w:rPr>
          <w:rFonts w:ascii="Times New Roman" w:hAnsi="Times New Roman" w:cs="Times New Roman"/>
          <w:color w:val="000000"/>
          <w:sz w:val="24"/>
          <w:szCs w:val="24"/>
        </w:rPr>
        <w:t>o</w:t>
      </w:r>
      <w:r w:rsidRPr="00E67D0A">
        <w:rPr>
          <w:rFonts w:ascii="Times New Roman" w:hAnsi="Times New Roman" w:cs="Times New Roman"/>
          <w:color w:val="000000"/>
          <w:sz w:val="24"/>
          <w:szCs w:val="24"/>
        </w:rPr>
        <w:t>rg</w:t>
      </w:r>
    </w:p>
    <w:p w14:paraId="332F2E19" w14:textId="77777777" w:rsidR="000F69AC" w:rsidRPr="00E67D0A" w:rsidRDefault="000F69AC" w:rsidP="000F69AC">
      <w:pPr>
        <w:widowControl w:val="0"/>
        <w:pBdr>
          <w:bottom w:val="single" w:sz="4" w:space="0" w:color="auto"/>
        </w:pBdr>
        <w:spacing w:after="0" w:line="240" w:lineRule="auto"/>
        <w:rPr>
          <w:rFonts w:ascii="Times New Roman" w:eastAsia="Times New Roman" w:hAnsi="Times New Roman" w:cs="Times New Roman"/>
          <w:color w:val="000000"/>
          <w:kern w:val="0"/>
          <w:sz w:val="24"/>
          <w:szCs w:val="24"/>
          <w:lang w:bidi="en-US"/>
          <w14:ligatures w14:val="none"/>
        </w:rPr>
      </w:pPr>
    </w:p>
    <w:p w14:paraId="102775A8" w14:textId="77777777" w:rsidR="00E67D0A" w:rsidRPr="00E67D0A" w:rsidRDefault="00E67D0A" w:rsidP="000F69AC">
      <w:pPr>
        <w:widowControl w:val="0"/>
        <w:spacing w:after="100" w:afterAutospacing="1" w:line="240" w:lineRule="auto"/>
        <w:rPr>
          <w:rFonts w:ascii="Times New Roman" w:eastAsia="Times New Roman" w:hAnsi="Times New Roman" w:cs="Times New Roman"/>
          <w:color w:val="000000"/>
          <w:kern w:val="0"/>
          <w:sz w:val="24"/>
          <w:szCs w:val="24"/>
          <w:lang w:val="es-ES" w:bidi="en-US"/>
          <w14:ligatures w14:val="none"/>
        </w:rPr>
      </w:pPr>
      <w:r w:rsidRPr="00E67D0A">
        <w:rPr>
          <w:rFonts w:ascii="Times New Roman" w:eastAsia="Times New Roman" w:hAnsi="Times New Roman" w:cs="Times New Roman"/>
          <w:b/>
          <w:bCs/>
          <w:color w:val="000000"/>
          <w:kern w:val="0"/>
          <w:sz w:val="24"/>
          <w:szCs w:val="24"/>
          <w:lang w:val="es-ES" w:bidi="en-US"/>
          <w14:ligatures w14:val="none"/>
        </w:rPr>
        <w:t>No llame al Tribunal ni a la oficina del Secretario del Tribunal para peguntar sobre esta liquidación.</w:t>
      </w:r>
    </w:p>
    <w:p w14:paraId="46B41D97" w14:textId="5439A950" w:rsidR="00B839B6" w:rsidRPr="000F69AC" w:rsidRDefault="00E67D0A" w:rsidP="000F69AC">
      <w:pPr>
        <w:widowControl w:val="0"/>
        <w:spacing w:after="240" w:line="240" w:lineRule="auto"/>
        <w:outlineLvl w:val="0"/>
        <w:rPr>
          <w:rFonts w:ascii="Times New Roman" w:eastAsia="Times New Roman" w:hAnsi="Times New Roman" w:cs="Times New Roman"/>
          <w:b/>
          <w:bCs/>
          <w:color w:val="000000"/>
          <w:kern w:val="0"/>
          <w:sz w:val="24"/>
          <w:szCs w:val="24"/>
          <w:u w:val="single"/>
          <w:lang w:val="es-ES" w:bidi="en-US"/>
          <w14:ligatures w14:val="none"/>
        </w:rPr>
      </w:pPr>
      <w:bookmarkStart w:id="19" w:name="bookmark39"/>
      <w:r w:rsidRPr="00E67D0A">
        <w:rPr>
          <w:rFonts w:ascii="Times New Roman" w:eastAsia="Times New Roman" w:hAnsi="Times New Roman" w:cs="Times New Roman"/>
          <w:b/>
          <w:bCs/>
          <w:color w:val="000000"/>
          <w:kern w:val="0"/>
          <w:sz w:val="24"/>
          <w:szCs w:val="24"/>
          <w:lang w:val="es-ES" w:bidi="en-US"/>
          <w14:ligatures w14:val="none"/>
        </w:rPr>
        <w:t>Para obtener copias de este Aviso en formatos accesibles alternativos, use los datos antes enumerados para contactar al Asesor legal.</w:t>
      </w:r>
      <w:bookmarkEnd w:id="19"/>
    </w:p>
    <w:sectPr w:rsidR="00B839B6" w:rsidRPr="000F69AC" w:rsidSect="00AB30BB">
      <w:headerReference w:type="default" r:id="rId8"/>
      <w:footerReference w:type="default" r:id="rId9"/>
      <w:pgSz w:w="12240" w:h="15840" w:code="1"/>
      <w:pgMar w:top="-1440" w:right="720" w:bottom="720" w:left="1584" w:header="475"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7208" w14:textId="77777777" w:rsidR="00957138" w:rsidRDefault="00957138" w:rsidP="00397A98">
      <w:r>
        <w:separator/>
      </w:r>
    </w:p>
  </w:endnote>
  <w:endnote w:type="continuationSeparator" w:id="0">
    <w:p w14:paraId="53226B1B" w14:textId="77777777" w:rsidR="00957138" w:rsidRDefault="00957138" w:rsidP="0039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A816" w14:textId="792D91B0" w:rsidR="00CC6C87" w:rsidRPr="00391C5B" w:rsidRDefault="00E67D0A" w:rsidP="00E67D0A">
    <w:pPr>
      <w:pStyle w:val="DocID0"/>
    </w:pPr>
    <w:bookmarkStart w:id="20" w:name="_iDocIDField32f53e49-22e1-4f5f-8b91-7f87"/>
    <w:r>
      <w:t>4905-0797-4932 v.1</w:t>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0D44" w14:textId="77777777" w:rsidR="00957138" w:rsidRDefault="00957138" w:rsidP="00397A98">
      <w:r>
        <w:separator/>
      </w:r>
    </w:p>
  </w:footnote>
  <w:footnote w:type="continuationSeparator" w:id="0">
    <w:p w14:paraId="36A674E4" w14:textId="77777777" w:rsidR="00957138" w:rsidRDefault="00957138" w:rsidP="0039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8E1" w14:textId="7724F375" w:rsidR="00AB30BB" w:rsidRPr="00391C5B" w:rsidRDefault="00AB30BB" w:rsidP="00C67B5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42CB3C"/>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00447FF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888113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45DEA9B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99E7FA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8E6256"/>
    <w:multiLevelType w:val="multilevel"/>
    <w:tmpl w:val="101C8080"/>
    <w:name w:val="UserListNum"/>
    <w:lvl w:ilvl="0">
      <w:start w:val="1"/>
      <w:numFmt w:val="decimal"/>
      <w:lvlRestart w:val="0"/>
      <w:lvlText w:val="%1"/>
      <w:lvlJc w:val="left"/>
      <w:pPr>
        <w:tabs>
          <w:tab w:val="num" w:pos="360"/>
        </w:tabs>
        <w:ind w:left="0" w:firstLine="0"/>
      </w:pPr>
    </w:lvl>
    <w:lvl w:ilvl="1">
      <w:start w:val="1"/>
      <w:numFmt w:val="decimal"/>
      <w:lvlRestart w:val="0"/>
      <w:lvlText w:val="%2"/>
      <w:lvlJc w:val="left"/>
      <w:pPr>
        <w:tabs>
          <w:tab w:val="num" w:pos="360"/>
        </w:tabs>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574444"/>
    <w:multiLevelType w:val="multilevel"/>
    <w:tmpl w:val="022838D6"/>
    <w:lvl w:ilvl="0">
      <w:start w:val="1"/>
      <w:numFmt w:val="upperRoman"/>
      <w:lvlRestart w:val="0"/>
      <w:lvlText w:val="%1."/>
      <w:lvlJc w:val="left"/>
      <w:pPr>
        <w:ind w:left="0" w:firstLine="0"/>
      </w:pPr>
      <w:rPr>
        <w:rFonts w:ascii="Times New Roman Bold" w:hAnsi="Times New Roman Bold" w:hint="default"/>
        <w:b/>
        <w:i w:val="0"/>
        <w:sz w:val="24"/>
        <w:szCs w:val="24"/>
      </w:rPr>
    </w:lvl>
    <w:lvl w:ilvl="1">
      <w:start w:val="1"/>
      <w:numFmt w:val="decimal"/>
      <w:lvlText w:val="%2."/>
      <w:lvlJc w:val="left"/>
      <w:pPr>
        <w:ind w:left="360" w:hanging="360"/>
      </w:pPr>
      <w:rPr>
        <w:b/>
        <w:bCs/>
      </w:rPr>
    </w:lvl>
    <w:lvl w:ilvl="2">
      <w:start w:val="1"/>
      <w:numFmt w:val="decimal"/>
      <w:lvlText w:val="%3."/>
      <w:lvlJc w:val="left"/>
      <w:pPr>
        <w:tabs>
          <w:tab w:val="num" w:pos="0"/>
        </w:tabs>
        <w:ind w:left="1440" w:hanging="720"/>
      </w:pPr>
      <w:rPr>
        <w:rFonts w:ascii="Times New Roman Bold" w:hAnsi="Times New Roman Bold" w:hint="default"/>
        <w:b/>
        <w:i w:val="0"/>
        <w:sz w:val="24"/>
        <w:szCs w:val="24"/>
      </w:rPr>
    </w:lvl>
    <w:lvl w:ilvl="3">
      <w:start w:val="1"/>
      <w:numFmt w:val="lowerLetter"/>
      <w:lvlText w:val="%4."/>
      <w:lvlJc w:val="left"/>
      <w:pPr>
        <w:tabs>
          <w:tab w:val="num" w:pos="0"/>
        </w:tabs>
        <w:ind w:left="2160" w:hanging="720"/>
      </w:pPr>
      <w:rPr>
        <w:rFonts w:ascii="Times New Roman Bold" w:hAnsi="Times New Roman Bold" w:hint="default"/>
        <w:b/>
        <w:i w:val="0"/>
        <w:sz w:val="24"/>
        <w:szCs w:val="24"/>
      </w:rPr>
    </w:lvl>
    <w:lvl w:ilvl="4">
      <w:start w:val="1"/>
      <w:numFmt w:val="lowerRoman"/>
      <w:lvlText w:val="%5."/>
      <w:lvlJc w:val="left"/>
      <w:pPr>
        <w:tabs>
          <w:tab w:val="num" w:pos="-31680"/>
        </w:tabs>
        <w:ind w:left="2880" w:hanging="720"/>
      </w:pPr>
      <w:rPr>
        <w:rFonts w:ascii="Times New Roman Bold" w:hAnsi="Times New Roman Bold" w:hint="default"/>
        <w:b/>
        <w:i w:val="0"/>
        <w:sz w:val="24"/>
        <w:szCs w:val="24"/>
      </w:rPr>
    </w:lvl>
    <w:lvl w:ilvl="5">
      <w:start w:val="1"/>
      <w:numFmt w:val="decimal"/>
      <w:lvlText w:val="%6."/>
      <w:lvlJc w:val="left"/>
      <w:pPr>
        <w:tabs>
          <w:tab w:val="num" w:pos="0"/>
        </w:tabs>
        <w:ind w:left="-720" w:firstLine="720"/>
      </w:pPr>
      <w:rPr>
        <w:rFonts w:ascii="Times New Roman" w:hAnsi="Times New Roman" w:hint="default"/>
        <w:sz w:val="24"/>
        <w:szCs w:val="24"/>
      </w:rPr>
    </w:lvl>
    <w:lvl w:ilvl="6">
      <w:start w:val="1"/>
      <w:numFmt w:val="lowerLetter"/>
      <w:lvlText w:val="%7."/>
      <w:lvlJc w:val="left"/>
      <w:pPr>
        <w:tabs>
          <w:tab w:val="num" w:pos="0"/>
        </w:tabs>
        <w:ind w:left="-720" w:firstLine="1440"/>
      </w:pPr>
      <w:rPr>
        <w:rFonts w:ascii="Times New Roman" w:hAnsi="Times New Roman" w:hint="default"/>
        <w:sz w:val="24"/>
        <w:szCs w:val="24"/>
      </w:rPr>
    </w:lvl>
    <w:lvl w:ilvl="7">
      <w:start w:val="1"/>
      <w:numFmt w:val="lowerRoman"/>
      <w:lvlText w:val="%8."/>
      <w:lvlJc w:val="left"/>
      <w:pPr>
        <w:tabs>
          <w:tab w:val="num" w:pos="0"/>
        </w:tabs>
        <w:ind w:left="-720" w:firstLine="2160"/>
      </w:pPr>
      <w:rPr>
        <w:rFonts w:ascii="Times New Roman" w:hAnsi="Times New Roman" w:hint="default"/>
        <w:sz w:val="24"/>
        <w:szCs w:val="24"/>
      </w:rPr>
    </w:lvl>
    <w:lvl w:ilvl="8">
      <w:start w:val="1"/>
      <w:numFmt w:val="lowerRoman"/>
      <w:lvlText w:val="%9)"/>
      <w:lvlJc w:val="left"/>
      <w:pPr>
        <w:tabs>
          <w:tab w:val="num" w:pos="0"/>
        </w:tabs>
        <w:ind w:left="5760" w:hanging="720"/>
      </w:pPr>
      <w:rPr>
        <w:rFonts w:ascii="Times New Roman" w:hAnsi="Times New Roman" w:hint="default"/>
        <w:sz w:val="24"/>
        <w:szCs w:val="24"/>
      </w:rPr>
    </w:lvl>
  </w:abstractNum>
  <w:abstractNum w:abstractNumId="7" w15:restartNumberingAfterBreak="0">
    <w:nsid w:val="587720EE"/>
    <w:multiLevelType w:val="multilevel"/>
    <w:tmpl w:val="07882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26BD5"/>
    <w:multiLevelType w:val="hybridMultilevel"/>
    <w:tmpl w:val="ACA83DC4"/>
    <w:lvl w:ilvl="0" w:tplc="D7265532">
      <w:start w:val="1"/>
      <w:numFmt w:val="lowerLetter"/>
      <w:pStyle w:val="ListLett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7570946">
    <w:abstractNumId w:val="8"/>
  </w:num>
  <w:num w:numId="2" w16cid:durableId="1234438152">
    <w:abstractNumId w:val="6"/>
  </w:num>
  <w:num w:numId="3" w16cid:durableId="1375886167">
    <w:abstractNumId w:val="4"/>
  </w:num>
  <w:num w:numId="4" w16cid:durableId="276722559">
    <w:abstractNumId w:val="2"/>
  </w:num>
  <w:num w:numId="5" w16cid:durableId="1451629585">
    <w:abstractNumId w:val="1"/>
  </w:num>
  <w:num w:numId="6" w16cid:durableId="303119315">
    <w:abstractNumId w:val="3"/>
  </w:num>
  <w:num w:numId="7" w16cid:durableId="1439563912">
    <w:abstractNumId w:val="0"/>
  </w:num>
  <w:num w:numId="8" w16cid:durableId="10610574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noExtraLineSpacing/>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55"/>
    <w:rsid w:val="000011B5"/>
    <w:rsid w:val="00001295"/>
    <w:rsid w:val="00002CB3"/>
    <w:rsid w:val="0000436A"/>
    <w:rsid w:val="0001071B"/>
    <w:rsid w:val="000140DB"/>
    <w:rsid w:val="00015268"/>
    <w:rsid w:val="00015611"/>
    <w:rsid w:val="00017DD5"/>
    <w:rsid w:val="000242D8"/>
    <w:rsid w:val="000260CB"/>
    <w:rsid w:val="0002674D"/>
    <w:rsid w:val="000271FD"/>
    <w:rsid w:val="000427E3"/>
    <w:rsid w:val="00044826"/>
    <w:rsid w:val="00045A23"/>
    <w:rsid w:val="00053626"/>
    <w:rsid w:val="00054A98"/>
    <w:rsid w:val="00055442"/>
    <w:rsid w:val="00063BEF"/>
    <w:rsid w:val="0006697A"/>
    <w:rsid w:val="00080AFB"/>
    <w:rsid w:val="00080BE1"/>
    <w:rsid w:val="00080F5C"/>
    <w:rsid w:val="0009777F"/>
    <w:rsid w:val="00097F81"/>
    <w:rsid w:val="000A1DEF"/>
    <w:rsid w:val="000A306D"/>
    <w:rsid w:val="000A5942"/>
    <w:rsid w:val="000C0111"/>
    <w:rsid w:val="000C5BB0"/>
    <w:rsid w:val="000D207E"/>
    <w:rsid w:val="000E2AE9"/>
    <w:rsid w:val="000F1C93"/>
    <w:rsid w:val="000F69AC"/>
    <w:rsid w:val="00110C74"/>
    <w:rsid w:val="001171CF"/>
    <w:rsid w:val="0012592E"/>
    <w:rsid w:val="00144513"/>
    <w:rsid w:val="0014594F"/>
    <w:rsid w:val="00152CA5"/>
    <w:rsid w:val="00165343"/>
    <w:rsid w:val="00165FE1"/>
    <w:rsid w:val="0017136C"/>
    <w:rsid w:val="00172B90"/>
    <w:rsid w:val="0017763A"/>
    <w:rsid w:val="001816CC"/>
    <w:rsid w:val="00181D52"/>
    <w:rsid w:val="00183749"/>
    <w:rsid w:val="00184DB2"/>
    <w:rsid w:val="00185F9E"/>
    <w:rsid w:val="001946F3"/>
    <w:rsid w:val="00194FFC"/>
    <w:rsid w:val="00195CD5"/>
    <w:rsid w:val="001A295F"/>
    <w:rsid w:val="001C0043"/>
    <w:rsid w:val="001C17C6"/>
    <w:rsid w:val="001C20E8"/>
    <w:rsid w:val="001E4F9A"/>
    <w:rsid w:val="001E6AB8"/>
    <w:rsid w:val="001F28BF"/>
    <w:rsid w:val="001F3BEB"/>
    <w:rsid w:val="001F6C0B"/>
    <w:rsid w:val="00203274"/>
    <w:rsid w:val="00205323"/>
    <w:rsid w:val="00213AE8"/>
    <w:rsid w:val="00216E91"/>
    <w:rsid w:val="00225737"/>
    <w:rsid w:val="002369C9"/>
    <w:rsid w:val="002405AD"/>
    <w:rsid w:val="00241E90"/>
    <w:rsid w:val="00242210"/>
    <w:rsid w:val="00242DA1"/>
    <w:rsid w:val="00243A0C"/>
    <w:rsid w:val="002530BF"/>
    <w:rsid w:val="00253F4C"/>
    <w:rsid w:val="002546B7"/>
    <w:rsid w:val="00255685"/>
    <w:rsid w:val="00255CCD"/>
    <w:rsid w:val="00256615"/>
    <w:rsid w:val="002666CE"/>
    <w:rsid w:val="00267D8A"/>
    <w:rsid w:val="002720DF"/>
    <w:rsid w:val="002742D6"/>
    <w:rsid w:val="002757CC"/>
    <w:rsid w:val="00286E3A"/>
    <w:rsid w:val="0029405D"/>
    <w:rsid w:val="00294ABD"/>
    <w:rsid w:val="00295827"/>
    <w:rsid w:val="002C3B8D"/>
    <w:rsid w:val="002E03E7"/>
    <w:rsid w:val="002E6BD2"/>
    <w:rsid w:val="002F4B80"/>
    <w:rsid w:val="003076A2"/>
    <w:rsid w:val="00310EBE"/>
    <w:rsid w:val="0032030F"/>
    <w:rsid w:val="0032165A"/>
    <w:rsid w:val="00321873"/>
    <w:rsid w:val="00324D8D"/>
    <w:rsid w:val="00324E46"/>
    <w:rsid w:val="003303DD"/>
    <w:rsid w:val="00333BB3"/>
    <w:rsid w:val="003422FD"/>
    <w:rsid w:val="00342A37"/>
    <w:rsid w:val="00343F3F"/>
    <w:rsid w:val="00343F49"/>
    <w:rsid w:val="00344633"/>
    <w:rsid w:val="0034643C"/>
    <w:rsid w:val="00346E80"/>
    <w:rsid w:val="00354DBB"/>
    <w:rsid w:val="00357329"/>
    <w:rsid w:val="003628DF"/>
    <w:rsid w:val="00362E66"/>
    <w:rsid w:val="00371103"/>
    <w:rsid w:val="003720B1"/>
    <w:rsid w:val="00372418"/>
    <w:rsid w:val="00374277"/>
    <w:rsid w:val="003756F8"/>
    <w:rsid w:val="00377B05"/>
    <w:rsid w:val="00387DFC"/>
    <w:rsid w:val="003902A9"/>
    <w:rsid w:val="00391A61"/>
    <w:rsid w:val="00391C5B"/>
    <w:rsid w:val="003927B7"/>
    <w:rsid w:val="00397A98"/>
    <w:rsid w:val="003A0CAF"/>
    <w:rsid w:val="003A4490"/>
    <w:rsid w:val="003B09AA"/>
    <w:rsid w:val="003B39AE"/>
    <w:rsid w:val="003C0863"/>
    <w:rsid w:val="003C69FB"/>
    <w:rsid w:val="003C7550"/>
    <w:rsid w:val="003D3422"/>
    <w:rsid w:val="003E421F"/>
    <w:rsid w:val="003E6A71"/>
    <w:rsid w:val="003E6C8E"/>
    <w:rsid w:val="003E7BC0"/>
    <w:rsid w:val="003F13A9"/>
    <w:rsid w:val="003F4DF7"/>
    <w:rsid w:val="003F609F"/>
    <w:rsid w:val="003F64A8"/>
    <w:rsid w:val="00404668"/>
    <w:rsid w:val="0040659E"/>
    <w:rsid w:val="00426853"/>
    <w:rsid w:val="00430B56"/>
    <w:rsid w:val="004377F1"/>
    <w:rsid w:val="00437A89"/>
    <w:rsid w:val="00442342"/>
    <w:rsid w:val="00442A02"/>
    <w:rsid w:val="00444B01"/>
    <w:rsid w:val="0044712F"/>
    <w:rsid w:val="00454A2E"/>
    <w:rsid w:val="00460006"/>
    <w:rsid w:val="00460D83"/>
    <w:rsid w:val="00461E07"/>
    <w:rsid w:val="004625A6"/>
    <w:rsid w:val="0046706F"/>
    <w:rsid w:val="0047033A"/>
    <w:rsid w:val="004735D3"/>
    <w:rsid w:val="004738C1"/>
    <w:rsid w:val="004745E2"/>
    <w:rsid w:val="00474FF3"/>
    <w:rsid w:val="00483690"/>
    <w:rsid w:val="004843E2"/>
    <w:rsid w:val="0048746E"/>
    <w:rsid w:val="00487ED9"/>
    <w:rsid w:val="0049508B"/>
    <w:rsid w:val="00497690"/>
    <w:rsid w:val="004A317E"/>
    <w:rsid w:val="004C02D2"/>
    <w:rsid w:val="004C1B82"/>
    <w:rsid w:val="004C1DF7"/>
    <w:rsid w:val="004C5DD2"/>
    <w:rsid w:val="004C5EAA"/>
    <w:rsid w:val="004C6545"/>
    <w:rsid w:val="004E0324"/>
    <w:rsid w:val="004E0B1C"/>
    <w:rsid w:val="004E4625"/>
    <w:rsid w:val="004E665C"/>
    <w:rsid w:val="004F0C26"/>
    <w:rsid w:val="004F1095"/>
    <w:rsid w:val="004F723C"/>
    <w:rsid w:val="00500550"/>
    <w:rsid w:val="00503E66"/>
    <w:rsid w:val="00506223"/>
    <w:rsid w:val="005078C5"/>
    <w:rsid w:val="00507A7B"/>
    <w:rsid w:val="005105D2"/>
    <w:rsid w:val="00512445"/>
    <w:rsid w:val="00514419"/>
    <w:rsid w:val="005166B2"/>
    <w:rsid w:val="00527936"/>
    <w:rsid w:val="0053112F"/>
    <w:rsid w:val="0054341A"/>
    <w:rsid w:val="00544C10"/>
    <w:rsid w:val="00545C79"/>
    <w:rsid w:val="005558C6"/>
    <w:rsid w:val="005572A3"/>
    <w:rsid w:val="005574D0"/>
    <w:rsid w:val="00557ED2"/>
    <w:rsid w:val="00562E6C"/>
    <w:rsid w:val="0056608A"/>
    <w:rsid w:val="00566D31"/>
    <w:rsid w:val="005717FF"/>
    <w:rsid w:val="00575F5B"/>
    <w:rsid w:val="005952CC"/>
    <w:rsid w:val="00595EDD"/>
    <w:rsid w:val="005A7D94"/>
    <w:rsid w:val="005B65D5"/>
    <w:rsid w:val="005C1A70"/>
    <w:rsid w:val="005C3C41"/>
    <w:rsid w:val="005C41DF"/>
    <w:rsid w:val="005C6B9D"/>
    <w:rsid w:val="005C7472"/>
    <w:rsid w:val="005E1269"/>
    <w:rsid w:val="005F2E3E"/>
    <w:rsid w:val="005F7931"/>
    <w:rsid w:val="0060100D"/>
    <w:rsid w:val="006018A7"/>
    <w:rsid w:val="006022E8"/>
    <w:rsid w:val="00604518"/>
    <w:rsid w:val="006053A8"/>
    <w:rsid w:val="00610495"/>
    <w:rsid w:val="006116B4"/>
    <w:rsid w:val="006127D2"/>
    <w:rsid w:val="00623E0B"/>
    <w:rsid w:val="00626C4E"/>
    <w:rsid w:val="00627855"/>
    <w:rsid w:val="00630BA4"/>
    <w:rsid w:val="00630E0A"/>
    <w:rsid w:val="0063137E"/>
    <w:rsid w:val="00633BCB"/>
    <w:rsid w:val="00636F2F"/>
    <w:rsid w:val="00645634"/>
    <w:rsid w:val="006500D1"/>
    <w:rsid w:val="0065201E"/>
    <w:rsid w:val="00672611"/>
    <w:rsid w:val="00672E1D"/>
    <w:rsid w:val="00673D99"/>
    <w:rsid w:val="00682762"/>
    <w:rsid w:val="00683F43"/>
    <w:rsid w:val="00685E88"/>
    <w:rsid w:val="0069108A"/>
    <w:rsid w:val="00696C14"/>
    <w:rsid w:val="006A05C4"/>
    <w:rsid w:val="006A1D21"/>
    <w:rsid w:val="006A5559"/>
    <w:rsid w:val="006B411E"/>
    <w:rsid w:val="006C38D8"/>
    <w:rsid w:val="006C4A3F"/>
    <w:rsid w:val="006C67F4"/>
    <w:rsid w:val="006D44EE"/>
    <w:rsid w:val="006D7FD8"/>
    <w:rsid w:val="006E2CC5"/>
    <w:rsid w:val="006E596A"/>
    <w:rsid w:val="006F0087"/>
    <w:rsid w:val="006F5AE5"/>
    <w:rsid w:val="006F77E1"/>
    <w:rsid w:val="00702A5F"/>
    <w:rsid w:val="00704AA7"/>
    <w:rsid w:val="00710308"/>
    <w:rsid w:val="00712A99"/>
    <w:rsid w:val="00715BE8"/>
    <w:rsid w:val="007172A8"/>
    <w:rsid w:val="00717518"/>
    <w:rsid w:val="00717F87"/>
    <w:rsid w:val="007250CE"/>
    <w:rsid w:val="00740602"/>
    <w:rsid w:val="00750B28"/>
    <w:rsid w:val="00754A07"/>
    <w:rsid w:val="007643EF"/>
    <w:rsid w:val="007721BC"/>
    <w:rsid w:val="007771A6"/>
    <w:rsid w:val="00780D2C"/>
    <w:rsid w:val="00782E77"/>
    <w:rsid w:val="007843BF"/>
    <w:rsid w:val="00787A51"/>
    <w:rsid w:val="00792A5D"/>
    <w:rsid w:val="00793032"/>
    <w:rsid w:val="00793D96"/>
    <w:rsid w:val="00796729"/>
    <w:rsid w:val="007A129C"/>
    <w:rsid w:val="007A6AA3"/>
    <w:rsid w:val="007B4BA6"/>
    <w:rsid w:val="007B5CCC"/>
    <w:rsid w:val="007C3B72"/>
    <w:rsid w:val="007D3448"/>
    <w:rsid w:val="007D4D73"/>
    <w:rsid w:val="007F2E4F"/>
    <w:rsid w:val="007F357F"/>
    <w:rsid w:val="008026B6"/>
    <w:rsid w:val="008036CA"/>
    <w:rsid w:val="008110C6"/>
    <w:rsid w:val="0081155A"/>
    <w:rsid w:val="00823707"/>
    <w:rsid w:val="008344AB"/>
    <w:rsid w:val="00842A39"/>
    <w:rsid w:val="00844862"/>
    <w:rsid w:val="008462EF"/>
    <w:rsid w:val="00847166"/>
    <w:rsid w:val="00855BD4"/>
    <w:rsid w:val="0086164D"/>
    <w:rsid w:val="00881733"/>
    <w:rsid w:val="00882BEA"/>
    <w:rsid w:val="00887E66"/>
    <w:rsid w:val="008906D0"/>
    <w:rsid w:val="008955DF"/>
    <w:rsid w:val="00895C55"/>
    <w:rsid w:val="00896300"/>
    <w:rsid w:val="00896535"/>
    <w:rsid w:val="008A7A2F"/>
    <w:rsid w:val="008B368A"/>
    <w:rsid w:val="008B6CDF"/>
    <w:rsid w:val="008C33CF"/>
    <w:rsid w:val="008D0E47"/>
    <w:rsid w:val="008D2B4F"/>
    <w:rsid w:val="008D2E94"/>
    <w:rsid w:val="008D5C4F"/>
    <w:rsid w:val="008E20B5"/>
    <w:rsid w:val="008E41DE"/>
    <w:rsid w:val="008F3691"/>
    <w:rsid w:val="00901172"/>
    <w:rsid w:val="00905AF8"/>
    <w:rsid w:val="00912B3A"/>
    <w:rsid w:val="009143DC"/>
    <w:rsid w:val="00916703"/>
    <w:rsid w:val="00916BE8"/>
    <w:rsid w:val="00921823"/>
    <w:rsid w:val="00931116"/>
    <w:rsid w:val="00932F6D"/>
    <w:rsid w:val="00934A8A"/>
    <w:rsid w:val="00935050"/>
    <w:rsid w:val="00954CFA"/>
    <w:rsid w:val="00957138"/>
    <w:rsid w:val="00961A8B"/>
    <w:rsid w:val="0096464D"/>
    <w:rsid w:val="0096597B"/>
    <w:rsid w:val="0096673A"/>
    <w:rsid w:val="00974737"/>
    <w:rsid w:val="00984DE6"/>
    <w:rsid w:val="0098581D"/>
    <w:rsid w:val="009874D5"/>
    <w:rsid w:val="00993309"/>
    <w:rsid w:val="00994CE2"/>
    <w:rsid w:val="00994F95"/>
    <w:rsid w:val="0099720A"/>
    <w:rsid w:val="00997FF5"/>
    <w:rsid w:val="009A01C1"/>
    <w:rsid w:val="009A270D"/>
    <w:rsid w:val="009A3269"/>
    <w:rsid w:val="009A5B56"/>
    <w:rsid w:val="009A68BA"/>
    <w:rsid w:val="009B3378"/>
    <w:rsid w:val="009B4A3E"/>
    <w:rsid w:val="009B4FD8"/>
    <w:rsid w:val="009C1314"/>
    <w:rsid w:val="009C49D9"/>
    <w:rsid w:val="009D2E67"/>
    <w:rsid w:val="009D438B"/>
    <w:rsid w:val="009D701E"/>
    <w:rsid w:val="009D77A3"/>
    <w:rsid w:val="009E2E1F"/>
    <w:rsid w:val="009E6EA8"/>
    <w:rsid w:val="009F193C"/>
    <w:rsid w:val="00A00DC6"/>
    <w:rsid w:val="00A0206E"/>
    <w:rsid w:val="00A037DB"/>
    <w:rsid w:val="00A04F65"/>
    <w:rsid w:val="00A06117"/>
    <w:rsid w:val="00A10819"/>
    <w:rsid w:val="00A131FF"/>
    <w:rsid w:val="00A13C17"/>
    <w:rsid w:val="00A1435A"/>
    <w:rsid w:val="00A157F9"/>
    <w:rsid w:val="00A16EC8"/>
    <w:rsid w:val="00A178B1"/>
    <w:rsid w:val="00A21065"/>
    <w:rsid w:val="00A21EBD"/>
    <w:rsid w:val="00A328FA"/>
    <w:rsid w:val="00A360FD"/>
    <w:rsid w:val="00A379ED"/>
    <w:rsid w:val="00A37C9E"/>
    <w:rsid w:val="00A50ED7"/>
    <w:rsid w:val="00A51427"/>
    <w:rsid w:val="00A60A5B"/>
    <w:rsid w:val="00A632DA"/>
    <w:rsid w:val="00A70AFA"/>
    <w:rsid w:val="00A74708"/>
    <w:rsid w:val="00A851A0"/>
    <w:rsid w:val="00A93A89"/>
    <w:rsid w:val="00A93FB8"/>
    <w:rsid w:val="00AA359F"/>
    <w:rsid w:val="00AA630B"/>
    <w:rsid w:val="00AA75B1"/>
    <w:rsid w:val="00AB11B7"/>
    <w:rsid w:val="00AB206E"/>
    <w:rsid w:val="00AB30BB"/>
    <w:rsid w:val="00AB7641"/>
    <w:rsid w:val="00AC5253"/>
    <w:rsid w:val="00AD4953"/>
    <w:rsid w:val="00AD4C93"/>
    <w:rsid w:val="00AE3A8F"/>
    <w:rsid w:val="00AE44D6"/>
    <w:rsid w:val="00AE6A2F"/>
    <w:rsid w:val="00AE7EDE"/>
    <w:rsid w:val="00B01FCC"/>
    <w:rsid w:val="00B03069"/>
    <w:rsid w:val="00B04297"/>
    <w:rsid w:val="00B06364"/>
    <w:rsid w:val="00B0678A"/>
    <w:rsid w:val="00B078CF"/>
    <w:rsid w:val="00B11241"/>
    <w:rsid w:val="00B141C7"/>
    <w:rsid w:val="00B2537F"/>
    <w:rsid w:val="00B3294D"/>
    <w:rsid w:val="00B344B5"/>
    <w:rsid w:val="00B34D11"/>
    <w:rsid w:val="00B34E69"/>
    <w:rsid w:val="00B42AF2"/>
    <w:rsid w:val="00B4404F"/>
    <w:rsid w:val="00B54097"/>
    <w:rsid w:val="00B546D9"/>
    <w:rsid w:val="00B620D3"/>
    <w:rsid w:val="00B62182"/>
    <w:rsid w:val="00B71F48"/>
    <w:rsid w:val="00B74B12"/>
    <w:rsid w:val="00B7541C"/>
    <w:rsid w:val="00B839B6"/>
    <w:rsid w:val="00B83DC0"/>
    <w:rsid w:val="00B9182F"/>
    <w:rsid w:val="00B95376"/>
    <w:rsid w:val="00B970EA"/>
    <w:rsid w:val="00BA146B"/>
    <w:rsid w:val="00BA3FFD"/>
    <w:rsid w:val="00BB10DE"/>
    <w:rsid w:val="00BC0644"/>
    <w:rsid w:val="00BC0C22"/>
    <w:rsid w:val="00BC18B3"/>
    <w:rsid w:val="00BC3627"/>
    <w:rsid w:val="00BC4810"/>
    <w:rsid w:val="00BD0044"/>
    <w:rsid w:val="00BD3B5B"/>
    <w:rsid w:val="00BE1ABC"/>
    <w:rsid w:val="00BE2F41"/>
    <w:rsid w:val="00BF000B"/>
    <w:rsid w:val="00BF22D9"/>
    <w:rsid w:val="00BF5A51"/>
    <w:rsid w:val="00C043F7"/>
    <w:rsid w:val="00C06312"/>
    <w:rsid w:val="00C100C4"/>
    <w:rsid w:val="00C1057F"/>
    <w:rsid w:val="00C11477"/>
    <w:rsid w:val="00C12F11"/>
    <w:rsid w:val="00C16A5E"/>
    <w:rsid w:val="00C311C6"/>
    <w:rsid w:val="00C41183"/>
    <w:rsid w:val="00C43AAE"/>
    <w:rsid w:val="00C43CD3"/>
    <w:rsid w:val="00C463E9"/>
    <w:rsid w:val="00C53768"/>
    <w:rsid w:val="00C563D9"/>
    <w:rsid w:val="00C6061A"/>
    <w:rsid w:val="00C61939"/>
    <w:rsid w:val="00C629B4"/>
    <w:rsid w:val="00C67B5D"/>
    <w:rsid w:val="00C70B82"/>
    <w:rsid w:val="00C73620"/>
    <w:rsid w:val="00C77711"/>
    <w:rsid w:val="00C811F5"/>
    <w:rsid w:val="00C83663"/>
    <w:rsid w:val="00C84EB0"/>
    <w:rsid w:val="00C85C30"/>
    <w:rsid w:val="00C867F1"/>
    <w:rsid w:val="00C8704F"/>
    <w:rsid w:val="00C934D0"/>
    <w:rsid w:val="00C96D50"/>
    <w:rsid w:val="00CA0DF8"/>
    <w:rsid w:val="00CA0ED0"/>
    <w:rsid w:val="00CA2A1D"/>
    <w:rsid w:val="00CA4EE9"/>
    <w:rsid w:val="00CB0744"/>
    <w:rsid w:val="00CB1486"/>
    <w:rsid w:val="00CB3023"/>
    <w:rsid w:val="00CB6891"/>
    <w:rsid w:val="00CC43D4"/>
    <w:rsid w:val="00CC4E2D"/>
    <w:rsid w:val="00CC6C87"/>
    <w:rsid w:val="00CD1168"/>
    <w:rsid w:val="00CD42D5"/>
    <w:rsid w:val="00CE1508"/>
    <w:rsid w:val="00CE2497"/>
    <w:rsid w:val="00CE773B"/>
    <w:rsid w:val="00CF278C"/>
    <w:rsid w:val="00CF3796"/>
    <w:rsid w:val="00CF5692"/>
    <w:rsid w:val="00CF68D1"/>
    <w:rsid w:val="00CF7088"/>
    <w:rsid w:val="00D00CAE"/>
    <w:rsid w:val="00D0527E"/>
    <w:rsid w:val="00D12D7F"/>
    <w:rsid w:val="00D17D20"/>
    <w:rsid w:val="00D21B0F"/>
    <w:rsid w:val="00D30F41"/>
    <w:rsid w:val="00D43209"/>
    <w:rsid w:val="00D52BAE"/>
    <w:rsid w:val="00D54425"/>
    <w:rsid w:val="00D56BF1"/>
    <w:rsid w:val="00D57A54"/>
    <w:rsid w:val="00D77742"/>
    <w:rsid w:val="00D818EC"/>
    <w:rsid w:val="00D82550"/>
    <w:rsid w:val="00D8506E"/>
    <w:rsid w:val="00D8790C"/>
    <w:rsid w:val="00D9140C"/>
    <w:rsid w:val="00DA216F"/>
    <w:rsid w:val="00DA373D"/>
    <w:rsid w:val="00DB462B"/>
    <w:rsid w:val="00DB5063"/>
    <w:rsid w:val="00DB7B8F"/>
    <w:rsid w:val="00DC46FF"/>
    <w:rsid w:val="00DC4E9D"/>
    <w:rsid w:val="00DD09AE"/>
    <w:rsid w:val="00DD1E6B"/>
    <w:rsid w:val="00DE0BE6"/>
    <w:rsid w:val="00DE2CDD"/>
    <w:rsid w:val="00DF2A26"/>
    <w:rsid w:val="00E01CE8"/>
    <w:rsid w:val="00E0368A"/>
    <w:rsid w:val="00E0451E"/>
    <w:rsid w:val="00E11F50"/>
    <w:rsid w:val="00E15416"/>
    <w:rsid w:val="00E16C3A"/>
    <w:rsid w:val="00E24791"/>
    <w:rsid w:val="00E24A21"/>
    <w:rsid w:val="00E2649F"/>
    <w:rsid w:val="00E30775"/>
    <w:rsid w:val="00E30A35"/>
    <w:rsid w:val="00E33158"/>
    <w:rsid w:val="00E366A6"/>
    <w:rsid w:val="00E4308F"/>
    <w:rsid w:val="00E436AC"/>
    <w:rsid w:val="00E437F6"/>
    <w:rsid w:val="00E454C8"/>
    <w:rsid w:val="00E554C5"/>
    <w:rsid w:val="00E56FA0"/>
    <w:rsid w:val="00E67D0A"/>
    <w:rsid w:val="00E73B09"/>
    <w:rsid w:val="00E75992"/>
    <w:rsid w:val="00E76955"/>
    <w:rsid w:val="00E82176"/>
    <w:rsid w:val="00E82F2A"/>
    <w:rsid w:val="00E8419B"/>
    <w:rsid w:val="00E874EE"/>
    <w:rsid w:val="00EA182F"/>
    <w:rsid w:val="00EA3086"/>
    <w:rsid w:val="00EA765D"/>
    <w:rsid w:val="00EB00A6"/>
    <w:rsid w:val="00EC36AC"/>
    <w:rsid w:val="00EC5025"/>
    <w:rsid w:val="00ED020D"/>
    <w:rsid w:val="00ED3D48"/>
    <w:rsid w:val="00EE1985"/>
    <w:rsid w:val="00EE1F3F"/>
    <w:rsid w:val="00EF59DB"/>
    <w:rsid w:val="00EF7A0A"/>
    <w:rsid w:val="00F0417D"/>
    <w:rsid w:val="00F04D81"/>
    <w:rsid w:val="00F0704E"/>
    <w:rsid w:val="00F27B40"/>
    <w:rsid w:val="00F35A20"/>
    <w:rsid w:val="00F4721E"/>
    <w:rsid w:val="00F473DE"/>
    <w:rsid w:val="00F524EA"/>
    <w:rsid w:val="00F55656"/>
    <w:rsid w:val="00F56934"/>
    <w:rsid w:val="00F645AA"/>
    <w:rsid w:val="00F70758"/>
    <w:rsid w:val="00F75E64"/>
    <w:rsid w:val="00F76FDD"/>
    <w:rsid w:val="00F84672"/>
    <w:rsid w:val="00F914FA"/>
    <w:rsid w:val="00F9338E"/>
    <w:rsid w:val="00F93570"/>
    <w:rsid w:val="00F94C21"/>
    <w:rsid w:val="00FA7805"/>
    <w:rsid w:val="00FB691E"/>
    <w:rsid w:val="00FB7429"/>
    <w:rsid w:val="00FB7D0E"/>
    <w:rsid w:val="00FC00C3"/>
    <w:rsid w:val="00FD21D9"/>
    <w:rsid w:val="00FD2D80"/>
    <w:rsid w:val="00FD57D1"/>
    <w:rsid w:val="00FD70AD"/>
    <w:rsid w:val="00FE18E7"/>
    <w:rsid w:val="00FF474B"/>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F9D2"/>
  <w15:docId w15:val="{2C9D3C97-106B-4873-804F-C6543A03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C5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Pleadingdouble"/>
    <w:qFormat/>
    <w:rsid w:val="005952CC"/>
    <w:pPr>
      <w:keepNext/>
      <w:jc w:val="center"/>
      <w:outlineLvl w:val="0"/>
    </w:pPr>
    <w:rPr>
      <w:rFonts w:ascii="Times New Roman Bold" w:hAnsi="Times New Roman Bold" w:cs="Arial"/>
      <w:b/>
      <w:bCs/>
      <w:caps/>
      <w:kern w:val="32"/>
      <w:u w:val="single"/>
    </w:rPr>
  </w:style>
  <w:style w:type="paragraph" w:styleId="Heading2">
    <w:name w:val="heading 2"/>
    <w:basedOn w:val="Normal"/>
    <w:next w:val="Pleadingdouble"/>
    <w:qFormat/>
    <w:rsid w:val="00912B3A"/>
    <w:pPr>
      <w:keepNext/>
      <w:spacing w:after="240" w:line="240" w:lineRule="exact"/>
      <w:ind w:right="43"/>
      <w:outlineLvl w:val="1"/>
    </w:pPr>
    <w:rPr>
      <w:rFonts w:ascii="Times New Roman Bold" w:hAnsi="Times New Roman Bold" w:cs="Arial"/>
      <w:b/>
      <w:bCs/>
      <w:iCs/>
      <w:szCs w:val="28"/>
      <w:u w:val="single"/>
    </w:rPr>
  </w:style>
  <w:style w:type="paragraph" w:styleId="Heading3">
    <w:name w:val="heading 3"/>
    <w:basedOn w:val="Normal"/>
    <w:next w:val="Pleadingdouble"/>
    <w:qFormat/>
    <w:rsid w:val="00912B3A"/>
    <w:pPr>
      <w:keepNext/>
      <w:spacing w:after="240" w:line="240" w:lineRule="exact"/>
      <w:ind w:right="43"/>
      <w:outlineLvl w:val="2"/>
    </w:pPr>
    <w:rPr>
      <w:rFonts w:cs="Arial"/>
      <w:b/>
      <w:bCs/>
      <w:szCs w:val="26"/>
      <w:u w:val="single"/>
    </w:rPr>
  </w:style>
  <w:style w:type="paragraph" w:styleId="Heading4">
    <w:name w:val="heading 4"/>
    <w:basedOn w:val="Normal"/>
    <w:next w:val="Pleadingdouble"/>
    <w:qFormat/>
    <w:rsid w:val="00912B3A"/>
    <w:pPr>
      <w:keepNext/>
      <w:spacing w:after="240" w:line="240" w:lineRule="exact"/>
      <w:ind w:right="43"/>
      <w:outlineLvl w:val="3"/>
    </w:pPr>
    <w:rPr>
      <w:b/>
      <w:bCs/>
      <w:u w:val="single"/>
    </w:rPr>
  </w:style>
  <w:style w:type="paragraph" w:styleId="Heading5">
    <w:name w:val="heading 5"/>
    <w:basedOn w:val="Normal"/>
    <w:next w:val="Pleadingdouble"/>
    <w:qFormat/>
    <w:rsid w:val="00912B3A"/>
    <w:pPr>
      <w:keepNext/>
      <w:spacing w:after="240" w:line="240" w:lineRule="exact"/>
      <w:ind w:right="43"/>
      <w:outlineLvl w:val="4"/>
    </w:pPr>
    <w:rPr>
      <w:b/>
      <w:bCs/>
      <w:iCs/>
      <w:u w:val="single"/>
    </w:rPr>
  </w:style>
  <w:style w:type="paragraph" w:styleId="Heading6">
    <w:name w:val="heading 6"/>
    <w:basedOn w:val="Normal"/>
    <w:rsid w:val="00C06312"/>
    <w:pPr>
      <w:outlineLvl w:val="5"/>
    </w:pPr>
  </w:style>
  <w:style w:type="paragraph" w:styleId="Heading7">
    <w:name w:val="heading 7"/>
    <w:basedOn w:val="Normal"/>
    <w:rsid w:val="00C06312"/>
    <w:pPr>
      <w:outlineLvl w:val="6"/>
    </w:pPr>
  </w:style>
  <w:style w:type="paragraph" w:styleId="Heading8">
    <w:name w:val="heading 8"/>
    <w:basedOn w:val="Normal"/>
    <w:rsid w:val="00C06312"/>
    <w:pPr>
      <w:outlineLvl w:val="7"/>
    </w:pPr>
  </w:style>
  <w:style w:type="paragraph" w:styleId="Heading9">
    <w:name w:val="heading 9"/>
    <w:basedOn w:val="Normal"/>
    <w:next w:val="Normal"/>
    <w:rsid w:val="00C06312"/>
    <w:pPr>
      <w:tabs>
        <w:tab w:val="num" w:pos="3960"/>
      </w:tabs>
      <w:ind w:left="43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312"/>
    <w:pPr>
      <w:tabs>
        <w:tab w:val="center" w:pos="4680"/>
        <w:tab w:val="right" w:pos="9360"/>
      </w:tabs>
    </w:pPr>
  </w:style>
  <w:style w:type="paragraph" w:styleId="Footer">
    <w:name w:val="footer"/>
    <w:basedOn w:val="Normal"/>
    <w:rsid w:val="00C06312"/>
    <w:pPr>
      <w:tabs>
        <w:tab w:val="center" w:pos="4680"/>
        <w:tab w:val="right" w:pos="9360"/>
      </w:tabs>
      <w:spacing w:line="200" w:lineRule="exact"/>
    </w:pPr>
  </w:style>
  <w:style w:type="paragraph" w:customStyle="1" w:styleId="BodyBlock">
    <w:name w:val="Body Block"/>
    <w:basedOn w:val="BodyText"/>
    <w:rsid w:val="002720DF"/>
    <w:pPr>
      <w:ind w:firstLine="0"/>
    </w:pPr>
  </w:style>
  <w:style w:type="character" w:styleId="PageNumber">
    <w:name w:val="page number"/>
    <w:basedOn w:val="DefaultParagraphFont"/>
  </w:style>
  <w:style w:type="paragraph" w:customStyle="1" w:styleId="PointHeading1">
    <w:name w:val="PointHeading1"/>
    <w:basedOn w:val="Normal"/>
    <w:next w:val="Normal"/>
    <w:autoRedefine/>
    <w:pPr>
      <w:jc w:val="center"/>
    </w:pPr>
    <w:rPr>
      <w:b/>
      <w:bCs/>
    </w:rPr>
  </w:style>
  <w:style w:type="paragraph" w:customStyle="1" w:styleId="PointHeading2">
    <w:name w:val="PointHeading2"/>
    <w:basedOn w:val="Normal"/>
    <w:next w:val="Normal"/>
    <w:autoRedefine/>
    <w:pPr>
      <w:ind w:left="720" w:hanging="720"/>
    </w:pPr>
    <w:rPr>
      <w:b/>
      <w:bCs/>
    </w:rPr>
  </w:style>
  <w:style w:type="paragraph" w:customStyle="1" w:styleId="PointHeading3">
    <w:name w:val="PointHeading3"/>
    <w:basedOn w:val="Normal"/>
    <w:next w:val="Normal"/>
    <w:autoRedefine/>
    <w:pPr>
      <w:ind w:left="1440" w:hanging="720"/>
    </w:pPr>
    <w:rPr>
      <w:b/>
      <w:bCs/>
    </w:rPr>
  </w:style>
  <w:style w:type="paragraph" w:customStyle="1" w:styleId="PointHeading4">
    <w:name w:val="PointHeading4"/>
    <w:basedOn w:val="Normal"/>
    <w:next w:val="Normal"/>
    <w:autoRedefine/>
    <w:pPr>
      <w:ind w:left="2160" w:hanging="720"/>
    </w:pPr>
    <w:rPr>
      <w:b/>
      <w:bCs/>
    </w:rPr>
  </w:style>
  <w:style w:type="paragraph" w:customStyle="1" w:styleId="PointHeading6">
    <w:name w:val="PointHeading6"/>
    <w:basedOn w:val="Normal"/>
    <w:next w:val="Normal"/>
    <w:autoRedefine/>
    <w:pPr>
      <w:ind w:left="3600" w:hanging="720"/>
    </w:pPr>
    <w:rPr>
      <w:b/>
      <w:bCs/>
    </w:rPr>
  </w:style>
  <w:style w:type="paragraph" w:customStyle="1" w:styleId="PointHeading7">
    <w:name w:val="PointHeading7"/>
    <w:basedOn w:val="Normal"/>
    <w:next w:val="Normal"/>
    <w:autoRedefine/>
    <w:pPr>
      <w:ind w:left="4320" w:hanging="720"/>
    </w:pPr>
    <w:rPr>
      <w:b/>
      <w:bCs/>
    </w:rPr>
  </w:style>
  <w:style w:type="paragraph" w:customStyle="1" w:styleId="PointHeading8">
    <w:name w:val="PointHeading8"/>
    <w:basedOn w:val="Normal"/>
    <w:next w:val="Normal"/>
    <w:autoRedefine/>
    <w:pPr>
      <w:ind w:left="5040" w:hanging="720"/>
    </w:pPr>
    <w:rPr>
      <w:b/>
      <w:bCs/>
    </w:rPr>
  </w:style>
  <w:style w:type="paragraph" w:customStyle="1" w:styleId="PointHeading9">
    <w:name w:val="PointHeading9"/>
    <w:basedOn w:val="Normal"/>
    <w:next w:val="Normal"/>
    <w:autoRedefine/>
    <w:pPr>
      <w:ind w:left="5760" w:hanging="720"/>
    </w:pPr>
    <w:rPr>
      <w:b/>
      <w:bCs/>
    </w:rPr>
  </w:style>
  <w:style w:type="paragraph" w:customStyle="1" w:styleId="PointHeading5">
    <w:name w:val="PointHeading5"/>
    <w:basedOn w:val="PointHeading4"/>
    <w:pPr>
      <w:ind w:left="2880"/>
    </w:pPr>
  </w:style>
  <w:style w:type="paragraph" w:styleId="TOC1">
    <w:name w:val="toc 1"/>
    <w:basedOn w:val="Normal"/>
    <w:next w:val="Normal"/>
    <w:autoRedefine/>
    <w:uiPriority w:val="39"/>
    <w:rsid w:val="00080BE1"/>
    <w:pPr>
      <w:tabs>
        <w:tab w:val="left" w:pos="720"/>
        <w:tab w:val="right" w:leader="dot" w:pos="9360"/>
      </w:tabs>
      <w:spacing w:after="120" w:line="240" w:lineRule="exact"/>
      <w:ind w:left="720" w:right="720" w:hanging="720"/>
    </w:pPr>
    <w:rPr>
      <w:caps/>
      <w:noProof/>
    </w:rPr>
  </w:style>
  <w:style w:type="paragraph" w:styleId="TOC2">
    <w:name w:val="toc 2"/>
    <w:basedOn w:val="Normal"/>
    <w:next w:val="Normal"/>
    <w:autoRedefine/>
    <w:uiPriority w:val="39"/>
    <w:rsid w:val="00080BE1"/>
    <w:pPr>
      <w:tabs>
        <w:tab w:val="left" w:pos="1440"/>
        <w:tab w:val="right" w:leader="dot" w:pos="9360"/>
      </w:tabs>
      <w:spacing w:after="120" w:line="240" w:lineRule="exact"/>
      <w:ind w:left="1440" w:right="720" w:hanging="720"/>
    </w:pPr>
    <w:rPr>
      <w:noProof/>
    </w:rPr>
  </w:style>
  <w:style w:type="paragraph" w:styleId="TOC3">
    <w:name w:val="toc 3"/>
    <w:basedOn w:val="Normal"/>
    <w:next w:val="Normal"/>
    <w:autoRedefine/>
    <w:uiPriority w:val="39"/>
    <w:rsid w:val="00080BE1"/>
    <w:pPr>
      <w:tabs>
        <w:tab w:val="left" w:pos="2160"/>
        <w:tab w:val="right" w:leader="dot" w:pos="9360"/>
      </w:tabs>
      <w:spacing w:after="120" w:line="240" w:lineRule="exact"/>
      <w:ind w:left="2160" w:right="720" w:hanging="720"/>
    </w:pPr>
    <w:rPr>
      <w:noProof/>
    </w:rPr>
  </w:style>
  <w:style w:type="paragraph" w:styleId="TOC4">
    <w:name w:val="toc 4"/>
    <w:basedOn w:val="Normal"/>
    <w:next w:val="Normal"/>
    <w:autoRedefine/>
    <w:uiPriority w:val="39"/>
    <w:rsid w:val="00080BE1"/>
    <w:pPr>
      <w:tabs>
        <w:tab w:val="left" w:pos="2880"/>
        <w:tab w:val="right" w:leader="dot" w:pos="9360"/>
      </w:tabs>
      <w:spacing w:after="120" w:line="240" w:lineRule="exact"/>
      <w:ind w:left="2880" w:right="720" w:hanging="720"/>
    </w:pPr>
    <w:rPr>
      <w:noProof/>
    </w:rPr>
  </w:style>
  <w:style w:type="paragraph" w:styleId="TOC5">
    <w:name w:val="toc 5"/>
    <w:basedOn w:val="Normal"/>
    <w:next w:val="Normal"/>
    <w:autoRedefine/>
    <w:uiPriority w:val="39"/>
    <w:rsid w:val="00080BE1"/>
    <w:pPr>
      <w:tabs>
        <w:tab w:val="left" w:pos="3600"/>
        <w:tab w:val="right" w:leader="dot" w:pos="9360"/>
      </w:tabs>
      <w:spacing w:line="240" w:lineRule="exact"/>
      <w:ind w:left="3600" w:right="720" w:hanging="720"/>
    </w:pPr>
    <w:rPr>
      <w:noProof/>
    </w:rPr>
  </w:style>
  <w:style w:type="paragraph" w:styleId="TOC6">
    <w:name w:val="toc 6"/>
    <w:basedOn w:val="Normal"/>
    <w:next w:val="Normal"/>
    <w:autoRedefine/>
    <w:semiHidden/>
    <w:rsid w:val="00C06312"/>
    <w:pPr>
      <w:spacing w:line="240" w:lineRule="auto"/>
      <w:ind w:left="1200"/>
    </w:pPr>
  </w:style>
  <w:style w:type="paragraph" w:styleId="TOC7">
    <w:name w:val="toc 7"/>
    <w:basedOn w:val="Normal"/>
    <w:next w:val="Normal"/>
    <w:autoRedefine/>
    <w:semiHidden/>
    <w:pPr>
      <w:tabs>
        <w:tab w:val="right" w:leader="dot" w:pos="9900"/>
      </w:tabs>
      <w:ind w:left="2880" w:hanging="720"/>
      <w:jc w:val="both"/>
    </w:pPr>
    <w:rPr>
      <w:noProof/>
    </w:rPr>
  </w:style>
  <w:style w:type="paragraph" w:styleId="TOC8">
    <w:name w:val="toc 8"/>
    <w:basedOn w:val="Normal"/>
    <w:next w:val="Normal"/>
    <w:autoRedefine/>
    <w:semiHidden/>
    <w:pPr>
      <w:tabs>
        <w:tab w:val="right" w:leader="dot" w:pos="9900"/>
      </w:tabs>
      <w:ind w:left="3600" w:hanging="720"/>
      <w:jc w:val="both"/>
    </w:pPr>
    <w:rPr>
      <w:noProof/>
    </w:rPr>
  </w:style>
  <w:style w:type="paragraph" w:styleId="TOC9">
    <w:name w:val="toc 9"/>
    <w:basedOn w:val="Normal"/>
    <w:next w:val="Normal"/>
    <w:autoRedefine/>
    <w:semiHidden/>
    <w:pPr>
      <w:tabs>
        <w:tab w:val="right" w:leader="dot" w:pos="9900"/>
      </w:tabs>
      <w:ind w:left="4320" w:hanging="720"/>
      <w:jc w:val="both"/>
    </w:pPr>
    <w:rPr>
      <w:noProof/>
    </w:rPr>
  </w:style>
  <w:style w:type="character" w:styleId="Hyperlink">
    <w:name w:val="Hyperlink"/>
    <w:uiPriority w:val="99"/>
    <w:rsid w:val="00C06312"/>
    <w:rPr>
      <w:color w:val="0000FF"/>
      <w:u w:val="single"/>
    </w:rPr>
  </w:style>
  <w:style w:type="paragraph" w:customStyle="1" w:styleId="QuoteDS">
    <w:name w:val="Quote DS"/>
    <w:basedOn w:val="Normal"/>
    <w:rsid w:val="005C6B9D"/>
    <w:pPr>
      <w:ind w:left="1440" w:right="1476"/>
      <w:jc w:val="both"/>
    </w:pPr>
  </w:style>
  <w:style w:type="paragraph" w:styleId="TOAHeading">
    <w:name w:val="toa heading"/>
    <w:basedOn w:val="Normal"/>
    <w:next w:val="Normal"/>
    <w:autoRedefine/>
    <w:uiPriority w:val="99"/>
    <w:semiHidden/>
    <w:rsid w:val="00CA0ED0"/>
    <w:rPr>
      <w:rFonts w:cs="Arial"/>
      <w:b/>
      <w:bCs/>
    </w:rPr>
  </w:style>
  <w:style w:type="paragraph" w:customStyle="1" w:styleId="Pleadingsingle">
    <w:name w:val="Pleading single"/>
    <w:basedOn w:val="Pleadingdouble"/>
    <w:rsid w:val="00C06312"/>
    <w:pPr>
      <w:spacing w:line="240" w:lineRule="exact"/>
    </w:pPr>
  </w:style>
  <w:style w:type="paragraph" w:customStyle="1" w:styleId="Pleadingdouble">
    <w:name w:val="Pleading double"/>
    <w:basedOn w:val="Normal"/>
    <w:qFormat/>
    <w:rsid w:val="00921823"/>
    <w:pPr>
      <w:ind w:firstLine="720"/>
    </w:pPr>
  </w:style>
  <w:style w:type="paragraph" w:customStyle="1" w:styleId="Single">
    <w:name w:val="Single"/>
    <w:basedOn w:val="Pleadingsingle"/>
    <w:rsid w:val="00C06312"/>
    <w:pPr>
      <w:ind w:firstLine="0"/>
    </w:pPr>
  </w:style>
  <w:style w:type="paragraph" w:styleId="FootnoteText">
    <w:name w:val="footnote text"/>
    <w:basedOn w:val="Normal"/>
    <w:semiHidden/>
    <w:rsid w:val="00C811F5"/>
    <w:pPr>
      <w:tabs>
        <w:tab w:val="left" w:pos="720"/>
      </w:tabs>
      <w:spacing w:after="120" w:line="240" w:lineRule="exact"/>
    </w:pPr>
  </w:style>
  <w:style w:type="paragraph" w:customStyle="1" w:styleId="DiscoveryHeading">
    <w:name w:val="Discovery Heading"/>
    <w:basedOn w:val="Pleadingdouble"/>
    <w:next w:val="Pleadingdouble"/>
    <w:rsid w:val="00BE2F41"/>
    <w:pPr>
      <w:keepNext/>
      <w:ind w:firstLine="0"/>
    </w:pPr>
    <w:rPr>
      <w:b/>
      <w:caps/>
      <w:u w:val="single"/>
    </w:rPr>
  </w:style>
  <w:style w:type="paragraph" w:customStyle="1" w:styleId="Pleadingblock">
    <w:name w:val="Pleading block"/>
    <w:basedOn w:val="Pleadingdouble"/>
    <w:rsid w:val="00C06312"/>
    <w:pPr>
      <w:ind w:firstLine="0"/>
    </w:pPr>
  </w:style>
  <w:style w:type="paragraph" w:customStyle="1" w:styleId="PleadingTitle">
    <w:name w:val="Pleading Title"/>
    <w:basedOn w:val="Normal"/>
    <w:rsid w:val="00C06312"/>
    <w:pPr>
      <w:spacing w:line="240" w:lineRule="exact"/>
    </w:pPr>
    <w:rPr>
      <w:b/>
      <w:bCs/>
      <w:caps/>
    </w:rPr>
  </w:style>
  <w:style w:type="paragraph" w:styleId="TableofAuthorities">
    <w:name w:val="table of authorities"/>
    <w:basedOn w:val="Normal"/>
    <w:next w:val="Normal"/>
    <w:semiHidden/>
    <w:rsid w:val="00C06312"/>
    <w:pPr>
      <w:spacing w:after="240" w:line="240" w:lineRule="exact"/>
      <w:ind w:left="259" w:hanging="259"/>
    </w:pPr>
  </w:style>
  <w:style w:type="paragraph" w:customStyle="1" w:styleId="AttysFor">
    <w:name w:val="AttysFor"/>
    <w:basedOn w:val="Single"/>
    <w:link w:val="AttysForChar"/>
    <w:rsid w:val="006A1D21"/>
    <w:pPr>
      <w:tabs>
        <w:tab w:val="left" w:pos="1260"/>
      </w:tabs>
      <w:ind w:right="3600"/>
    </w:pPr>
  </w:style>
  <w:style w:type="paragraph" w:styleId="ListNumber">
    <w:name w:val="List Number"/>
    <w:basedOn w:val="Normal"/>
    <w:rsid w:val="00B839B6"/>
    <w:pPr>
      <w:numPr>
        <w:numId w:val="6"/>
      </w:numPr>
      <w:tabs>
        <w:tab w:val="clear" w:pos="360"/>
      </w:tabs>
      <w:ind w:left="720" w:hanging="720"/>
    </w:pPr>
  </w:style>
  <w:style w:type="paragraph" w:customStyle="1" w:styleId="Atty">
    <w:name w:val="Atty"/>
    <w:basedOn w:val="Single"/>
    <w:rsid w:val="00954CFA"/>
    <w:pPr>
      <w:ind w:left="288"/>
    </w:pPr>
  </w:style>
  <w:style w:type="paragraph" w:customStyle="1" w:styleId="PleadNos">
    <w:name w:val="PleadNos"/>
    <w:basedOn w:val="Normal"/>
    <w:rsid w:val="00961A8B"/>
    <w:pPr>
      <w:jc w:val="right"/>
    </w:pPr>
  </w:style>
  <w:style w:type="character" w:styleId="FootnoteReference">
    <w:name w:val="footnote reference"/>
    <w:basedOn w:val="DefaultParagraphFont"/>
    <w:semiHidden/>
    <w:rsid w:val="00C811F5"/>
    <w:rPr>
      <w:vertAlign w:val="superscript"/>
    </w:rPr>
  </w:style>
  <w:style w:type="paragraph" w:customStyle="1" w:styleId="ListLetter2">
    <w:name w:val="List Letter 2"/>
    <w:basedOn w:val="Normal"/>
    <w:rsid w:val="005E1269"/>
    <w:pPr>
      <w:numPr>
        <w:numId w:val="1"/>
      </w:numPr>
      <w:overflowPunct w:val="0"/>
      <w:autoSpaceDE w:val="0"/>
      <w:autoSpaceDN w:val="0"/>
      <w:adjustRightInd w:val="0"/>
      <w:spacing w:after="240" w:line="476" w:lineRule="exact"/>
      <w:textAlignment w:val="baseline"/>
    </w:pPr>
    <w:rPr>
      <w:position w:val="-4"/>
      <w:szCs w:val="20"/>
    </w:rPr>
  </w:style>
  <w:style w:type="paragraph" w:styleId="Title">
    <w:name w:val="Title"/>
    <w:basedOn w:val="Normal"/>
    <w:qFormat/>
    <w:rsid w:val="00C06312"/>
    <w:pPr>
      <w:keepNext/>
      <w:spacing w:after="240"/>
      <w:jc w:val="center"/>
      <w:outlineLvl w:val="0"/>
    </w:pPr>
    <w:rPr>
      <w:b/>
      <w:bCs/>
      <w:kern w:val="28"/>
      <w:szCs w:val="28"/>
      <w:u w:val="single"/>
    </w:rPr>
  </w:style>
  <w:style w:type="paragraph" w:customStyle="1" w:styleId="PleadingFooter">
    <w:name w:val="Pleading Footer"/>
    <w:basedOn w:val="Footer"/>
    <w:next w:val="CourtFooter"/>
    <w:rsid w:val="00B546D9"/>
    <w:pPr>
      <w:pBdr>
        <w:bottom w:val="single" w:sz="4" w:space="1" w:color="auto"/>
      </w:pBdr>
      <w:tabs>
        <w:tab w:val="right" w:pos="9720"/>
      </w:tabs>
      <w:spacing w:line="160" w:lineRule="exact"/>
      <w:jc w:val="center"/>
    </w:pPr>
  </w:style>
  <w:style w:type="paragraph" w:customStyle="1" w:styleId="CaptionBox">
    <w:name w:val="CaptionBox"/>
    <w:basedOn w:val="Normal"/>
    <w:rsid w:val="002369C9"/>
    <w:pPr>
      <w:pBdr>
        <w:bottom w:val="single" w:sz="4" w:space="1" w:color="auto"/>
        <w:right w:val="single" w:sz="4" w:space="0" w:color="auto"/>
      </w:pBdr>
      <w:tabs>
        <w:tab w:val="right" w:pos="4785"/>
      </w:tabs>
      <w:spacing w:line="240" w:lineRule="exact"/>
    </w:pPr>
  </w:style>
  <w:style w:type="paragraph" w:customStyle="1" w:styleId="CourtFooter">
    <w:name w:val="Court Footer"/>
    <w:basedOn w:val="PleadingFooter"/>
    <w:rsid w:val="00CC6C87"/>
    <w:pPr>
      <w:pBdr>
        <w:top w:val="single" w:sz="4" w:space="1" w:color="auto"/>
        <w:bottom w:val="none" w:sz="0" w:space="0" w:color="auto"/>
      </w:pBdr>
      <w:tabs>
        <w:tab w:val="clear" w:pos="4680"/>
        <w:tab w:val="clear" w:pos="9360"/>
        <w:tab w:val="clear" w:pos="9720"/>
        <w:tab w:val="center" w:pos="5040"/>
      </w:tabs>
      <w:ind w:left="90"/>
    </w:pPr>
    <w:rPr>
      <w:smallCaps/>
      <w:sz w:val="20"/>
      <w:szCs w:val="20"/>
    </w:rPr>
  </w:style>
  <w:style w:type="paragraph" w:customStyle="1" w:styleId="QuoteSS">
    <w:name w:val="Quote SS"/>
    <w:basedOn w:val="Normal"/>
    <w:rsid w:val="005C6B9D"/>
    <w:pPr>
      <w:spacing w:line="240" w:lineRule="exact"/>
      <w:ind w:left="1440" w:right="1440"/>
      <w:jc w:val="both"/>
    </w:pPr>
  </w:style>
  <w:style w:type="paragraph" w:styleId="Subtitle">
    <w:name w:val="Subtitle"/>
    <w:basedOn w:val="Normal"/>
    <w:qFormat/>
    <w:rsid w:val="00C06312"/>
    <w:pPr>
      <w:keepNext/>
      <w:spacing w:after="240"/>
      <w:outlineLvl w:val="1"/>
    </w:pPr>
    <w:rPr>
      <w:rFonts w:cs="Arial"/>
      <w:b/>
      <w:i/>
    </w:rPr>
  </w:style>
  <w:style w:type="paragraph" w:styleId="ListBullet">
    <w:name w:val="List Bullet"/>
    <w:basedOn w:val="Normal"/>
    <w:rsid w:val="00B839B6"/>
    <w:pPr>
      <w:numPr>
        <w:numId w:val="3"/>
      </w:numPr>
      <w:ind w:right="126"/>
    </w:pPr>
  </w:style>
  <w:style w:type="paragraph" w:styleId="ListBullet2">
    <w:name w:val="List Bullet 2"/>
    <w:basedOn w:val="Normal"/>
    <w:rsid w:val="00B839B6"/>
    <w:pPr>
      <w:numPr>
        <w:numId w:val="4"/>
      </w:numPr>
    </w:pPr>
  </w:style>
  <w:style w:type="paragraph" w:styleId="ListBullet3">
    <w:name w:val="List Bullet 3"/>
    <w:basedOn w:val="Normal"/>
    <w:rsid w:val="00B839B6"/>
    <w:pPr>
      <w:numPr>
        <w:numId w:val="5"/>
      </w:numPr>
    </w:pPr>
  </w:style>
  <w:style w:type="paragraph" w:styleId="ListNumber2">
    <w:name w:val="List Number 2"/>
    <w:basedOn w:val="Normal"/>
    <w:rsid w:val="00B839B6"/>
    <w:pPr>
      <w:numPr>
        <w:numId w:val="7"/>
      </w:numPr>
      <w:tabs>
        <w:tab w:val="clear" w:pos="720"/>
      </w:tabs>
      <w:ind w:left="0" w:firstLine="720"/>
    </w:pPr>
  </w:style>
  <w:style w:type="paragraph" w:styleId="BodyText">
    <w:name w:val="Body Text"/>
    <w:basedOn w:val="Normal"/>
    <w:rsid w:val="002720DF"/>
    <w:pPr>
      <w:spacing w:after="120"/>
      <w:ind w:right="-360" w:firstLine="720"/>
      <w:jc w:val="both"/>
    </w:pPr>
  </w:style>
  <w:style w:type="character" w:customStyle="1" w:styleId="HeaderChar">
    <w:name w:val="Header Char"/>
    <w:basedOn w:val="DefaultParagraphFont"/>
    <w:link w:val="Header"/>
    <w:rsid w:val="00882BEA"/>
    <w:rPr>
      <w:sz w:val="24"/>
      <w:szCs w:val="24"/>
    </w:rPr>
  </w:style>
  <w:style w:type="paragraph" w:customStyle="1" w:styleId="HeaderNumbers">
    <w:name w:val="HeaderNumbers"/>
    <w:basedOn w:val="Normal"/>
    <w:rsid w:val="009A3269"/>
    <w:pPr>
      <w:spacing w:before="820"/>
      <w:ind w:right="144"/>
      <w:jc w:val="right"/>
    </w:pPr>
    <w:rPr>
      <w:szCs w:val="20"/>
    </w:rPr>
  </w:style>
  <w:style w:type="table" w:styleId="TableGrid">
    <w:name w:val="Table Grid"/>
    <w:basedOn w:val="TableNormal"/>
    <w:rsid w:val="009A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 ID"/>
    <w:basedOn w:val="Normal"/>
    <w:link w:val="DocIDChar"/>
    <w:rsid w:val="00397A98"/>
    <w:pPr>
      <w:spacing w:line="160" w:lineRule="exact"/>
      <w:ind w:left="-1080" w:right="3154"/>
    </w:pPr>
    <w:rPr>
      <w:rFonts w:cs="Arial"/>
      <w:noProof/>
      <w:sz w:val="14"/>
      <w:szCs w:val="14"/>
    </w:rPr>
  </w:style>
  <w:style w:type="character" w:customStyle="1" w:styleId="DocIDChar">
    <w:name w:val="Doc ID Char"/>
    <w:basedOn w:val="DefaultParagraphFont"/>
    <w:link w:val="DocID"/>
    <w:locked/>
    <w:rsid w:val="00397A98"/>
    <w:rPr>
      <w:rFonts w:cs="Arial"/>
      <w:noProof/>
      <w:sz w:val="14"/>
      <w:szCs w:val="14"/>
    </w:rPr>
  </w:style>
  <w:style w:type="paragraph" w:customStyle="1" w:styleId="COURT">
    <w:name w:val="COURT"/>
    <w:basedOn w:val="Single"/>
    <w:rsid w:val="00243A0C"/>
    <w:pPr>
      <w:spacing w:line="480" w:lineRule="exact"/>
      <w:jc w:val="center"/>
    </w:pPr>
    <w:rPr>
      <w:caps/>
    </w:rPr>
  </w:style>
  <w:style w:type="paragraph" w:customStyle="1" w:styleId="CaseNo">
    <w:name w:val="CaseNo"/>
    <w:basedOn w:val="Single"/>
    <w:rsid w:val="00E56FA0"/>
  </w:style>
  <w:style w:type="paragraph" w:customStyle="1" w:styleId="PleadingHeading">
    <w:name w:val="Pleading Heading"/>
    <w:basedOn w:val="Pleadingsingle"/>
    <w:rsid w:val="00DA216F"/>
    <w:pPr>
      <w:spacing w:before="160"/>
      <w:ind w:hanging="90"/>
      <w:jc w:val="center"/>
    </w:pPr>
    <w:rPr>
      <w:b/>
      <w:szCs w:val="20"/>
    </w:rPr>
  </w:style>
  <w:style w:type="paragraph" w:customStyle="1" w:styleId="Proofsingle">
    <w:name w:val="Proof single"/>
    <w:basedOn w:val="Pleadingsingle"/>
    <w:rsid w:val="00DA216F"/>
    <w:pPr>
      <w:tabs>
        <w:tab w:val="left" w:pos="432"/>
      </w:tabs>
      <w:ind w:left="-14" w:firstLine="14"/>
    </w:pPr>
  </w:style>
  <w:style w:type="paragraph" w:customStyle="1" w:styleId="CaseName">
    <w:name w:val="CaseName"/>
    <w:basedOn w:val="Normal"/>
    <w:rsid w:val="00DA216F"/>
    <w:pPr>
      <w:spacing w:line="240" w:lineRule="auto"/>
    </w:pPr>
    <w:rPr>
      <w:b/>
    </w:rPr>
  </w:style>
  <w:style w:type="character" w:styleId="PlaceholderText">
    <w:name w:val="Placeholder Text"/>
    <w:uiPriority w:val="99"/>
    <w:semiHidden/>
    <w:rsid w:val="00DA216F"/>
    <w:rPr>
      <w:color w:val="808080"/>
    </w:rPr>
  </w:style>
  <w:style w:type="paragraph" w:customStyle="1" w:styleId="DISCOVERYHEADING2">
    <w:name w:val="DISCOVERY HEADING2"/>
    <w:basedOn w:val="DiscoveryHeading"/>
    <w:next w:val="Pleadingdouble"/>
    <w:rsid w:val="00696C14"/>
    <w:pPr>
      <w:ind w:right="43"/>
    </w:pPr>
  </w:style>
  <w:style w:type="paragraph" w:customStyle="1" w:styleId="QuoteLR5">
    <w:name w:val="Quote LR .5&quot;"/>
    <w:basedOn w:val="Normal"/>
    <w:rsid w:val="00C06312"/>
    <w:pPr>
      <w:ind w:left="720" w:right="720"/>
      <w:jc w:val="both"/>
    </w:pPr>
  </w:style>
  <w:style w:type="paragraph" w:customStyle="1" w:styleId="QuoteLR1">
    <w:name w:val="Quote LR 1&quot;"/>
    <w:basedOn w:val="Normal"/>
    <w:rsid w:val="00C06312"/>
    <w:pPr>
      <w:ind w:left="1440" w:right="1440"/>
      <w:jc w:val="both"/>
    </w:pPr>
  </w:style>
  <w:style w:type="paragraph" w:styleId="Signature">
    <w:name w:val="Signature"/>
    <w:basedOn w:val="Normal"/>
    <w:link w:val="SignatureChar"/>
    <w:rsid w:val="005558C6"/>
    <w:pPr>
      <w:spacing w:line="240" w:lineRule="exact"/>
    </w:pPr>
    <w:rPr>
      <w:noProof/>
      <w:szCs w:val="26"/>
    </w:rPr>
  </w:style>
  <w:style w:type="character" w:customStyle="1" w:styleId="SignatureChar">
    <w:name w:val="Signature Char"/>
    <w:basedOn w:val="DefaultParagraphFont"/>
    <w:link w:val="Signature"/>
    <w:rsid w:val="005558C6"/>
    <w:rPr>
      <w:noProof/>
      <w:sz w:val="24"/>
      <w:szCs w:val="26"/>
    </w:rPr>
  </w:style>
  <w:style w:type="paragraph" w:customStyle="1" w:styleId="Signature2">
    <w:name w:val="Signature2"/>
    <w:basedOn w:val="Signature"/>
    <w:rsid w:val="005558C6"/>
    <w:pPr>
      <w:ind w:left="342"/>
    </w:pPr>
    <w:rPr>
      <w:szCs w:val="24"/>
    </w:rPr>
  </w:style>
  <w:style w:type="character" w:styleId="UnresolvedMention">
    <w:name w:val="Unresolved Mention"/>
    <w:basedOn w:val="DefaultParagraphFont"/>
    <w:uiPriority w:val="99"/>
    <w:semiHidden/>
    <w:unhideWhenUsed/>
    <w:rsid w:val="002F4B80"/>
    <w:rPr>
      <w:color w:val="605E5C"/>
      <w:shd w:val="clear" w:color="auto" w:fill="E1DFDD"/>
    </w:rPr>
  </w:style>
  <w:style w:type="character" w:customStyle="1" w:styleId="AttysForChar">
    <w:name w:val="AttysFor Char"/>
    <w:basedOn w:val="DefaultParagraphFont"/>
    <w:link w:val="AttysFor"/>
    <w:rsid w:val="00F914FA"/>
    <w:rPr>
      <w:sz w:val="24"/>
      <w:szCs w:val="24"/>
    </w:rPr>
  </w:style>
  <w:style w:type="paragraph" w:styleId="ListParagraph">
    <w:name w:val="List Paragraph"/>
    <w:basedOn w:val="Normal"/>
    <w:uiPriority w:val="34"/>
    <w:qFormat/>
    <w:rsid w:val="00391C5B"/>
    <w:pPr>
      <w:ind w:left="720"/>
      <w:contextualSpacing/>
    </w:pPr>
  </w:style>
  <w:style w:type="paragraph" w:customStyle="1" w:styleId="DocID0">
    <w:name w:val="DocID"/>
    <w:basedOn w:val="Footer"/>
    <w:next w:val="Footer"/>
    <w:link w:val="DocIDChar0"/>
    <w:rsid w:val="00E67D0A"/>
    <w:pPr>
      <w:widowControl w:val="0"/>
      <w:tabs>
        <w:tab w:val="clear" w:pos="4680"/>
        <w:tab w:val="clear" w:pos="9360"/>
      </w:tabs>
      <w:spacing w:after="0" w:line="240" w:lineRule="auto"/>
    </w:pPr>
    <w:rPr>
      <w:rFonts w:ascii="Arial" w:eastAsia="Times New Roman" w:hAnsi="Arial" w:cs="Arial"/>
      <w:kern w:val="0"/>
      <w:sz w:val="14"/>
      <w:szCs w:val="20"/>
      <w14:ligatures w14:val="none"/>
    </w:rPr>
  </w:style>
  <w:style w:type="character" w:customStyle="1" w:styleId="DocIDChar0">
    <w:name w:val="DocID Char"/>
    <w:basedOn w:val="DefaultParagraphFont"/>
    <w:link w:val="DocID0"/>
    <w:rsid w:val="00E67D0A"/>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870">
      <w:bodyDiv w:val="1"/>
      <w:marLeft w:val="0"/>
      <w:marRight w:val="0"/>
      <w:marTop w:val="0"/>
      <w:marBottom w:val="0"/>
      <w:divBdr>
        <w:top w:val="none" w:sz="0" w:space="0" w:color="auto"/>
        <w:left w:val="none" w:sz="0" w:space="0" w:color="auto"/>
        <w:bottom w:val="none" w:sz="0" w:space="0" w:color="auto"/>
        <w:right w:val="none" w:sz="0" w:space="0" w:color="auto"/>
      </w:divBdr>
    </w:div>
    <w:div w:id="157616677">
      <w:bodyDiv w:val="1"/>
      <w:marLeft w:val="0"/>
      <w:marRight w:val="0"/>
      <w:marTop w:val="0"/>
      <w:marBottom w:val="0"/>
      <w:divBdr>
        <w:top w:val="none" w:sz="0" w:space="0" w:color="auto"/>
        <w:left w:val="none" w:sz="0" w:space="0" w:color="auto"/>
        <w:bottom w:val="none" w:sz="0" w:space="0" w:color="auto"/>
        <w:right w:val="none" w:sz="0" w:space="0" w:color="auto"/>
      </w:divBdr>
    </w:div>
    <w:div w:id="211699917">
      <w:bodyDiv w:val="1"/>
      <w:marLeft w:val="0"/>
      <w:marRight w:val="0"/>
      <w:marTop w:val="0"/>
      <w:marBottom w:val="0"/>
      <w:divBdr>
        <w:top w:val="none" w:sz="0" w:space="0" w:color="auto"/>
        <w:left w:val="none" w:sz="0" w:space="0" w:color="auto"/>
        <w:bottom w:val="none" w:sz="0" w:space="0" w:color="auto"/>
        <w:right w:val="none" w:sz="0" w:space="0" w:color="auto"/>
      </w:divBdr>
    </w:div>
    <w:div w:id="241455538">
      <w:bodyDiv w:val="1"/>
      <w:marLeft w:val="0"/>
      <w:marRight w:val="0"/>
      <w:marTop w:val="0"/>
      <w:marBottom w:val="0"/>
      <w:divBdr>
        <w:top w:val="none" w:sz="0" w:space="0" w:color="auto"/>
        <w:left w:val="none" w:sz="0" w:space="0" w:color="auto"/>
        <w:bottom w:val="none" w:sz="0" w:space="0" w:color="auto"/>
        <w:right w:val="none" w:sz="0" w:space="0" w:color="auto"/>
      </w:divBdr>
    </w:div>
    <w:div w:id="309797690">
      <w:bodyDiv w:val="1"/>
      <w:marLeft w:val="0"/>
      <w:marRight w:val="0"/>
      <w:marTop w:val="0"/>
      <w:marBottom w:val="0"/>
      <w:divBdr>
        <w:top w:val="none" w:sz="0" w:space="0" w:color="auto"/>
        <w:left w:val="none" w:sz="0" w:space="0" w:color="auto"/>
        <w:bottom w:val="none" w:sz="0" w:space="0" w:color="auto"/>
        <w:right w:val="none" w:sz="0" w:space="0" w:color="auto"/>
      </w:divBdr>
    </w:div>
    <w:div w:id="839346520">
      <w:bodyDiv w:val="1"/>
      <w:marLeft w:val="0"/>
      <w:marRight w:val="0"/>
      <w:marTop w:val="0"/>
      <w:marBottom w:val="0"/>
      <w:divBdr>
        <w:top w:val="none" w:sz="0" w:space="0" w:color="auto"/>
        <w:left w:val="none" w:sz="0" w:space="0" w:color="auto"/>
        <w:bottom w:val="none" w:sz="0" w:space="0" w:color="auto"/>
        <w:right w:val="none" w:sz="0" w:space="0" w:color="auto"/>
      </w:divBdr>
    </w:div>
    <w:div w:id="1601915549">
      <w:bodyDiv w:val="1"/>
      <w:marLeft w:val="0"/>
      <w:marRight w:val="0"/>
      <w:marTop w:val="0"/>
      <w:marBottom w:val="0"/>
      <w:divBdr>
        <w:top w:val="none" w:sz="0" w:space="0" w:color="auto"/>
        <w:left w:val="none" w:sz="0" w:space="0" w:color="auto"/>
        <w:bottom w:val="none" w:sz="0" w:space="0" w:color="auto"/>
        <w:right w:val="none" w:sz="0" w:space="0" w:color="auto"/>
      </w:divBdr>
    </w:div>
    <w:div w:id="1789008489">
      <w:bodyDiv w:val="1"/>
      <w:marLeft w:val="0"/>
      <w:marRight w:val="0"/>
      <w:marTop w:val="0"/>
      <w:marBottom w:val="0"/>
      <w:divBdr>
        <w:top w:val="none" w:sz="0" w:space="0" w:color="auto"/>
        <w:left w:val="none" w:sz="0" w:space="0" w:color="auto"/>
        <w:bottom w:val="none" w:sz="0" w:space="0" w:color="auto"/>
        <w:right w:val="none" w:sz="0" w:space="0" w:color="auto"/>
      </w:divBdr>
    </w:div>
    <w:div w:id="19274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finety\macros\word\afinety\library\litigation\Superior_Court_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20D9-F174-478E-816A-1D379B52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Superior_Court_Caption</Template>
  <TotalTime>13</TotalTime>
  <Pages>5</Pages>
  <Words>2228</Words>
  <Characters>12700</Characters>
  <Application>Microsoft Office Word</Application>
  <DocSecurity>0</DocSecurity>
  <PresentationFormat/>
  <Lines>105</Lines>
  <Paragraphs>29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AVISO DE ACUERDO DE LIQUIDACIÓN COLECTIVA PROPUESTO</vt:lpstr>
      <vt:lpstr>LEA ATENTAMENTE ESTE AVISO. SUS DERECHOS PUEDEN VERSE AFECTADOS.</vt:lpstr>
      <vt:lpstr>AVISO DE DEMANDA COLECTIVA</vt:lpstr>
      <vt:lpstr>INFORMACIÓN BÁSICA</vt:lpstr>
      <vt:lpstr>EL GRUPO DE LA LIQUIDACIÓN</vt:lpstr>
      <vt:lpstr>RESUMEN DEL DECRETO DE CONSENTIMIENTO PARCIAL PROPUESTO</vt:lpstr>
      <vt:lpstr>    Reparaciones de senderos peatonales e instalación y reparaciones de rampas de bo</vt:lpstr>
      <vt:lpstr>    Nuevas obligaciones e inspecciones de construcciones y alteraciones</vt:lpstr>
      <vt:lpstr>    Obligaciones y priorización de accesos del programa</vt:lpstr>
      <vt:lpstr>    Coordinadores de ADA</vt:lpstr>
      <vt:lpstr>    Sistema de solicitud de acceso</vt:lpstr>
      <vt:lpstr>    Base de datos de mantenimiento y gestión de recursos</vt:lpstr>
      <vt:lpstr>    Monitoreo</vt:lpstr>
      <vt:lpstr>    Negociaciones futuras</vt:lpstr>
      <vt:lpstr>SUSPENSIÓN DE RECLAMACIONES COLECTIVAS</vt:lpstr>
      <vt:lpstr>PAGOS A REPRESENTANTES DEL GRUPO</vt:lpstr>
      <vt:lpstr>HONORARIOS DE ABOGADOS, COSTAS Y GASTOS RAZONABLES</vt:lpstr>
      <vt:lpstr>AUDIENCIA DE APROBACIÓN FINAL DEL TRIBUNAL</vt:lpstr>
      <vt:lpstr>OBJECIONES A LA LIQUIDACIÓN</vt:lpstr>
      <vt:lpstr>        INFORMACIÓN ADICIONAL</vt:lpstr>
      <vt:lpstr>Para obtener copias de este Aviso en formatos accesibles alternativos, use los d</vt:lpstr>
    </vt:vector>
  </TitlesOfParts>
  <Company>HP</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GBDH</dc:creator>
  <cp:lastModifiedBy>GBDH</cp:lastModifiedBy>
  <cp:revision>6</cp:revision>
  <cp:lastPrinted>2011-10-10T20:58:00Z</cp:lastPrinted>
  <dcterms:created xsi:type="dcterms:W3CDTF">2025-01-31T18:25:00Z</dcterms:created>
  <dcterms:modified xsi:type="dcterms:W3CDTF">2025-01-31T20:38:00Z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Type">
    <vt:lpwstr>Pleading</vt:lpwstr>
  </property>
  <property fmtid="{D5CDD505-2E9C-101B-9397-08002B2CF9AE}" pid="3" name="DocType">
    <vt:lpwstr>Superior</vt:lpwstr>
  </property>
</Properties>
</file>